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C0A05" w14:textId="77777777" w:rsidR="008D5064" w:rsidRDefault="008D5064" w:rsidP="008D5064">
      <w:pPr>
        <w:rPr>
          <w:b/>
          <w:bCs/>
        </w:rPr>
      </w:pPr>
      <w:r w:rsidRPr="008D5064">
        <w:rPr>
          <w:b/>
          <w:bCs/>
        </w:rPr>
        <w:t>RAPPORTO ANALITICO: L'IMMINENZA DEL "SECONDO ROUND" IN IRAN</w:t>
      </w:r>
    </w:p>
    <w:p w14:paraId="3B5135F3" w14:textId="31B13BBE" w:rsidR="008D5064" w:rsidRPr="008D5064" w:rsidRDefault="008D5064" w:rsidP="008D5064">
      <w:pPr>
        <w:rPr>
          <w:b/>
          <w:bCs/>
        </w:rPr>
      </w:pPr>
      <w:r>
        <w:rPr>
          <w:b/>
          <w:bCs/>
        </w:rPr>
        <w:t>15 gennaio 2026 – redatto con l’aiuto di GEMINI AI</w:t>
      </w:r>
    </w:p>
    <w:p w14:paraId="30B92DB8" w14:textId="1F18D3AD" w:rsidR="008D5064" w:rsidRPr="008D5064" w:rsidRDefault="008D5064" w:rsidP="008D5064">
      <w:pPr>
        <w:rPr>
          <w:b/>
          <w:bCs/>
        </w:rPr>
      </w:pPr>
      <w:r w:rsidRPr="008D5064">
        <w:rPr>
          <w:b/>
          <w:bCs/>
        </w:rPr>
        <w:t xml:space="preserve">Genesi del Conflitto: </w:t>
      </w:r>
      <w:r w:rsidR="00CC7FDF">
        <w:rPr>
          <w:b/>
          <w:bCs/>
        </w:rPr>
        <w:t>L</w:t>
      </w:r>
      <w:r w:rsidRPr="008D5064">
        <w:rPr>
          <w:b/>
          <w:bCs/>
        </w:rPr>
        <w:t>'</w:t>
      </w:r>
      <w:r w:rsidR="00CC7FDF">
        <w:rPr>
          <w:b/>
          <w:bCs/>
        </w:rPr>
        <w:t>e</w:t>
      </w:r>
      <w:r w:rsidRPr="008D5064">
        <w:rPr>
          <w:b/>
          <w:bCs/>
        </w:rPr>
        <w:t xml:space="preserve">redità della Guerra dei </w:t>
      </w:r>
      <w:r w:rsidR="00CC7FDF">
        <w:rPr>
          <w:b/>
          <w:bCs/>
        </w:rPr>
        <w:t>d</w:t>
      </w:r>
      <w:r w:rsidRPr="008D5064">
        <w:rPr>
          <w:b/>
          <w:bCs/>
        </w:rPr>
        <w:t xml:space="preserve">odici </w:t>
      </w:r>
      <w:r w:rsidR="00CC7FDF">
        <w:rPr>
          <w:b/>
          <w:bCs/>
        </w:rPr>
        <w:t>g</w:t>
      </w:r>
      <w:r w:rsidRPr="008D5064">
        <w:rPr>
          <w:b/>
          <w:bCs/>
        </w:rPr>
        <w:t xml:space="preserve">iorni e il </w:t>
      </w:r>
      <w:r w:rsidR="00CC7FDF">
        <w:rPr>
          <w:b/>
          <w:bCs/>
        </w:rPr>
        <w:t>c</w:t>
      </w:r>
      <w:r w:rsidRPr="008D5064">
        <w:rPr>
          <w:b/>
          <w:bCs/>
        </w:rPr>
        <w:t xml:space="preserve">ollasso della </w:t>
      </w:r>
      <w:r w:rsidR="00CC7FDF">
        <w:rPr>
          <w:b/>
          <w:bCs/>
        </w:rPr>
        <w:t>d</w:t>
      </w:r>
      <w:r w:rsidRPr="008D5064">
        <w:rPr>
          <w:b/>
          <w:bCs/>
        </w:rPr>
        <w:t>eterrenza</w:t>
      </w:r>
    </w:p>
    <w:p w14:paraId="4B1BC5C2" w14:textId="167D661F" w:rsidR="008D5064" w:rsidRPr="008D5064" w:rsidRDefault="008D5064" w:rsidP="008D5064">
      <w:r w:rsidRPr="008D5064">
        <w:t xml:space="preserve">Il panorama geopolitico del Medio Oriente ha subito una mutazione ontologica tra il 13 e il 24 giugno 2025, in quello che gli annali della storia militare definiscono ormai come la "Guerra dei Dodici Giorni". Questo conflitto, lungi dall'essere un episodio isolato, ha rappresentato il superamento definitivo della linea rossa nucleare che per decenni ha regolato i rapporti di forza tra la Repubblica Islamica dell'Iran e l'asse </w:t>
      </w:r>
      <w:proofErr w:type="spellStart"/>
      <w:r w:rsidRPr="008D5064">
        <w:t>israelo</w:t>
      </w:r>
      <w:proofErr w:type="spellEnd"/>
      <w:r w:rsidRPr="008D5064">
        <w:t>-americano. L'operazione "Leone Nascente" (Rising Lion), lanciata da Israele con un'aggressività senza precedenti, non è stata una mera rappresaglia per le consuete provocazioni dei proxy iraniani, ma un attacco preventivo volto a degradare le infrastrutture nucleari e i centri di comando strategico prima che Teheran potesse completare il ciclo di arricchimento dell'uranio al 90%.</w:t>
      </w:r>
    </w:p>
    <w:p w14:paraId="037E7C1F" w14:textId="7A27AE94" w:rsidR="008D5064" w:rsidRPr="008D5064" w:rsidRDefault="008D5064" w:rsidP="008D5064">
      <w:r w:rsidRPr="008D5064">
        <w:t xml:space="preserve">L'efficacia dell'offensiva è stata garantita da una simbiosi perfetta tra operazioni cinetiche e cyber-operazioni di nuova generazione. L'Unità 8200 dell'IDF, operando dalle stazioni di ascolto di </w:t>
      </w:r>
      <w:proofErr w:type="spellStart"/>
      <w:r w:rsidRPr="008D5064">
        <w:t>Urim</w:t>
      </w:r>
      <w:proofErr w:type="spellEnd"/>
      <w:r w:rsidRPr="008D5064">
        <w:t xml:space="preserve"> e dal quartier generale di </w:t>
      </w:r>
      <w:proofErr w:type="spellStart"/>
      <w:r w:rsidRPr="008D5064">
        <w:t>Glilot</w:t>
      </w:r>
      <w:proofErr w:type="spellEnd"/>
      <w:r w:rsidRPr="008D5064">
        <w:t xml:space="preserve"> Junction, ha dispiegato malware con un livello di sofisticatezza che ha superato persino il precedente storico di </w:t>
      </w:r>
      <w:proofErr w:type="spellStart"/>
      <w:r w:rsidRPr="008D5064">
        <w:t>Stuxnet</w:t>
      </w:r>
      <w:proofErr w:type="spellEnd"/>
      <w:r w:rsidRPr="008D5064">
        <w:t xml:space="preserve">. Analisi tecniche indicano l'uso di codici da 500 kilobyte capaci di sfruttare simultaneamente quattro exploit zero-day, penetrando le barriere di sicurezza (air-gap) delle installazioni di Natanz e </w:t>
      </w:r>
      <w:proofErr w:type="spellStart"/>
      <w:r w:rsidRPr="008D5064">
        <w:t>Fordow</w:t>
      </w:r>
      <w:proofErr w:type="spellEnd"/>
      <w:r w:rsidRPr="008D5064">
        <w:t xml:space="preserve"> attraverso certificati digitali compromessi.</w:t>
      </w:r>
      <w:r w:rsidRPr="008D5064">
        <w:rPr>
          <w:vertAlign w:val="superscript"/>
        </w:rPr>
        <w:t>3</w:t>
      </w:r>
      <w:r w:rsidRPr="008D5064">
        <w:t xml:space="preserve"> Questa paralisi digitale ha permesso a oltre 200 velivoli israeliani di colpire 360 obiettivi su tutto il territorio iraniano, distruggendo non solo centrifughe e laboratori, ma eliminando fisicamente figure chiave dell'apparato militare.</w:t>
      </w:r>
    </w:p>
    <w:p w14:paraId="266C602B" w14:textId="1F463B90" w:rsidR="008D5064" w:rsidRPr="008D5064" w:rsidRDefault="008D5064" w:rsidP="008D5064">
      <w:r w:rsidRPr="008D5064">
        <w:t>La morte dei vertici dell'IRGC (Corpo delle Guardie della Rivoluzione Islamica), tra cui il comandante Hossein Salami, il capo delle forze aerospaziali Amir Ali Hajizadeh e il Capo di Stato Maggiore Mohammad Bagheri, ha provocato un collasso temporaneo della catena di comando iraniana.</w:t>
      </w:r>
      <w:r w:rsidR="00CC7FDF">
        <w:rPr>
          <w:vertAlign w:val="superscript"/>
        </w:rPr>
        <w:t xml:space="preserve"> </w:t>
      </w:r>
      <w:r w:rsidRPr="008D5064">
        <w:t>Durante i primi giorni del conflitto, l'isolamento della Guida Suprema Ali Khamenei, rifugiatosi in una località segreta e comunicante solo tramite un unico intermediario, ha evidenziato la vulnerabilità di un sistema di potere eccessivamente centralizzato e infiltrato dall'intelligence straniera.</w:t>
      </w:r>
      <w:r w:rsidRPr="008D5064">
        <w:rPr>
          <w:vertAlign w:val="superscript"/>
        </w:rPr>
        <w:t>2</w:t>
      </w:r>
      <w:r w:rsidRPr="008D5064">
        <w:t xml:space="preserve"> Nonostante la Repubblica Islamica sia riuscita a montare una controffensiva lanciando circa 900 missili balistici e 1.000 droni contro Israele, l'asimmetria tecnologica è emersa in tutta la sua evidenza: la maggior parte della pioggia di fuoco iraniana è stata neutralizzata dai sistemi di difesa aerea multistrato, lasciando Teheran esposta al colpo finale sferrato dagli Stati Uniti il 21 giugno 2025 con il bombardamento dei siti sotterranei profondi.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59"/>
        <w:gridCol w:w="1595"/>
        <w:gridCol w:w="5068"/>
      </w:tblGrid>
      <w:tr w:rsidR="008D5064" w:rsidRPr="008D5064" w14:paraId="3527467E"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6B22039" w14:textId="77777777" w:rsidR="008D5064" w:rsidRPr="008D5064" w:rsidRDefault="008D5064" w:rsidP="008D5064">
            <w:r w:rsidRPr="008D5064">
              <w:rPr>
                <w:b/>
                <w:bCs/>
              </w:rPr>
              <w:t>Evento Chiave</w:t>
            </w:r>
          </w:p>
        </w:tc>
        <w:tc>
          <w:tcPr>
            <w:tcW w:w="0" w:type="auto"/>
            <w:tcBorders>
              <w:top w:val="single" w:sz="6" w:space="0" w:color="auto"/>
              <w:left w:val="single" w:sz="6" w:space="0" w:color="auto"/>
              <w:bottom w:val="single" w:sz="6" w:space="0" w:color="auto"/>
              <w:right w:val="single" w:sz="6" w:space="0" w:color="auto"/>
            </w:tcBorders>
            <w:vAlign w:val="center"/>
            <w:hideMark/>
          </w:tcPr>
          <w:p w14:paraId="1A8AF2F1" w14:textId="77777777" w:rsidR="008D5064" w:rsidRPr="008D5064" w:rsidRDefault="008D5064" w:rsidP="008D5064">
            <w:r w:rsidRPr="008D5064">
              <w:rPr>
                <w:b/>
                <w:bCs/>
              </w:rPr>
              <w:t>Data / Periodo</w:t>
            </w:r>
          </w:p>
        </w:tc>
        <w:tc>
          <w:tcPr>
            <w:tcW w:w="0" w:type="auto"/>
            <w:tcBorders>
              <w:top w:val="single" w:sz="6" w:space="0" w:color="auto"/>
              <w:left w:val="single" w:sz="6" w:space="0" w:color="auto"/>
              <w:bottom w:val="single" w:sz="6" w:space="0" w:color="auto"/>
              <w:right w:val="single" w:sz="6" w:space="0" w:color="auto"/>
            </w:tcBorders>
            <w:vAlign w:val="center"/>
            <w:hideMark/>
          </w:tcPr>
          <w:p w14:paraId="5F96BEEC" w14:textId="77777777" w:rsidR="008D5064" w:rsidRPr="008D5064" w:rsidRDefault="008D5064" w:rsidP="008D5064">
            <w:r w:rsidRPr="008D5064">
              <w:rPr>
                <w:b/>
                <w:bCs/>
              </w:rPr>
              <w:t>Conseguenza Strategica</w:t>
            </w:r>
          </w:p>
        </w:tc>
      </w:tr>
      <w:tr w:rsidR="008D5064" w:rsidRPr="008D5064" w14:paraId="27C7D59F"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EC812AF" w14:textId="77777777" w:rsidR="008D5064" w:rsidRPr="008D5064" w:rsidRDefault="008D5064" w:rsidP="008D5064">
            <w:r w:rsidRPr="008D5064">
              <w:t>Inizio Operazione "Leone Nascente"</w:t>
            </w:r>
          </w:p>
        </w:tc>
        <w:tc>
          <w:tcPr>
            <w:tcW w:w="0" w:type="auto"/>
            <w:tcBorders>
              <w:top w:val="single" w:sz="6" w:space="0" w:color="auto"/>
              <w:left w:val="single" w:sz="6" w:space="0" w:color="auto"/>
              <w:bottom w:val="single" w:sz="6" w:space="0" w:color="auto"/>
              <w:right w:val="single" w:sz="6" w:space="0" w:color="auto"/>
            </w:tcBorders>
            <w:vAlign w:val="center"/>
            <w:hideMark/>
          </w:tcPr>
          <w:p w14:paraId="1C81A548" w14:textId="77777777" w:rsidR="008D5064" w:rsidRPr="008D5064" w:rsidRDefault="008D5064" w:rsidP="008D5064">
            <w:r w:rsidRPr="008D5064">
              <w:t xml:space="preserve">13 </w:t>
            </w:r>
            <w:proofErr w:type="gramStart"/>
            <w:r w:rsidRPr="008D5064">
              <w:t>Giugno</w:t>
            </w:r>
            <w:proofErr w:type="gramEnd"/>
            <w:r w:rsidRPr="008D5064">
              <w:t xml:space="preserve"> 2025</w:t>
            </w:r>
          </w:p>
        </w:tc>
        <w:tc>
          <w:tcPr>
            <w:tcW w:w="0" w:type="auto"/>
            <w:tcBorders>
              <w:top w:val="single" w:sz="6" w:space="0" w:color="auto"/>
              <w:left w:val="single" w:sz="6" w:space="0" w:color="auto"/>
              <w:bottom w:val="single" w:sz="6" w:space="0" w:color="auto"/>
              <w:right w:val="single" w:sz="6" w:space="0" w:color="auto"/>
            </w:tcBorders>
            <w:vAlign w:val="center"/>
            <w:hideMark/>
          </w:tcPr>
          <w:p w14:paraId="34AE8F9A" w14:textId="77777777" w:rsidR="008D5064" w:rsidRPr="008D5064" w:rsidRDefault="008D5064" w:rsidP="008D5064">
            <w:r w:rsidRPr="008D5064">
              <w:t>Distruzione dei sistemi S-300 e decapitazione vertici IRGC.</w:t>
            </w:r>
            <w:r w:rsidRPr="008D5064">
              <w:rPr>
                <w:vertAlign w:val="superscript"/>
              </w:rPr>
              <w:t>1</w:t>
            </w:r>
          </w:p>
        </w:tc>
      </w:tr>
      <w:tr w:rsidR="008D5064" w:rsidRPr="008D5064" w14:paraId="7FF657D0"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85B03F6" w14:textId="77777777" w:rsidR="008D5064" w:rsidRPr="008D5064" w:rsidRDefault="008D5064" w:rsidP="008D5064">
            <w:r w:rsidRPr="008D5064">
              <w:t>Attacco alle Raffinerie di Haifa</w:t>
            </w:r>
          </w:p>
        </w:tc>
        <w:tc>
          <w:tcPr>
            <w:tcW w:w="0" w:type="auto"/>
            <w:tcBorders>
              <w:top w:val="single" w:sz="6" w:space="0" w:color="auto"/>
              <w:left w:val="single" w:sz="6" w:space="0" w:color="auto"/>
              <w:bottom w:val="single" w:sz="6" w:space="0" w:color="auto"/>
              <w:right w:val="single" w:sz="6" w:space="0" w:color="auto"/>
            </w:tcBorders>
            <w:vAlign w:val="center"/>
            <w:hideMark/>
          </w:tcPr>
          <w:p w14:paraId="16B3CDFC" w14:textId="77777777" w:rsidR="008D5064" w:rsidRPr="008D5064" w:rsidRDefault="008D5064" w:rsidP="008D5064">
            <w:r w:rsidRPr="008D5064">
              <w:t xml:space="preserve">15-16 </w:t>
            </w:r>
            <w:proofErr w:type="gramStart"/>
            <w:r w:rsidRPr="008D5064">
              <w:t>Giugno</w:t>
            </w:r>
            <w:proofErr w:type="gramEnd"/>
            <w:r w:rsidRPr="008D5064">
              <w:t xml:space="preserve"> 2025</w:t>
            </w:r>
          </w:p>
        </w:tc>
        <w:tc>
          <w:tcPr>
            <w:tcW w:w="0" w:type="auto"/>
            <w:tcBorders>
              <w:top w:val="single" w:sz="6" w:space="0" w:color="auto"/>
              <w:left w:val="single" w:sz="6" w:space="0" w:color="auto"/>
              <w:bottom w:val="single" w:sz="6" w:space="0" w:color="auto"/>
              <w:right w:val="single" w:sz="6" w:space="0" w:color="auto"/>
            </w:tcBorders>
            <w:vAlign w:val="center"/>
            <w:hideMark/>
          </w:tcPr>
          <w:p w14:paraId="0AF1F951" w14:textId="77777777" w:rsidR="008D5064" w:rsidRPr="008D5064" w:rsidRDefault="008D5064" w:rsidP="008D5064">
            <w:r w:rsidRPr="008D5064">
              <w:t>Chiusura impianti Bazan; dimostrazione capacità residua iraniana.</w:t>
            </w:r>
            <w:r w:rsidRPr="008D5064">
              <w:rPr>
                <w:vertAlign w:val="superscript"/>
              </w:rPr>
              <w:t>1</w:t>
            </w:r>
          </w:p>
        </w:tc>
      </w:tr>
      <w:tr w:rsidR="008D5064" w:rsidRPr="008D5064" w14:paraId="557E64D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893BA07" w14:textId="77777777" w:rsidR="008D5064" w:rsidRPr="008D5064" w:rsidRDefault="008D5064" w:rsidP="008D5064">
            <w:r w:rsidRPr="008D5064">
              <w:t>Intervento Diretto degli Stati Uniti</w:t>
            </w:r>
          </w:p>
        </w:tc>
        <w:tc>
          <w:tcPr>
            <w:tcW w:w="0" w:type="auto"/>
            <w:tcBorders>
              <w:top w:val="single" w:sz="6" w:space="0" w:color="auto"/>
              <w:left w:val="single" w:sz="6" w:space="0" w:color="auto"/>
              <w:bottom w:val="single" w:sz="6" w:space="0" w:color="auto"/>
              <w:right w:val="single" w:sz="6" w:space="0" w:color="auto"/>
            </w:tcBorders>
            <w:vAlign w:val="center"/>
            <w:hideMark/>
          </w:tcPr>
          <w:p w14:paraId="465474EF" w14:textId="77777777" w:rsidR="008D5064" w:rsidRPr="008D5064" w:rsidRDefault="008D5064" w:rsidP="008D5064">
            <w:r w:rsidRPr="008D5064">
              <w:t xml:space="preserve">21 </w:t>
            </w:r>
            <w:proofErr w:type="gramStart"/>
            <w:r w:rsidRPr="008D5064">
              <w:t>Giugno</w:t>
            </w:r>
            <w:proofErr w:type="gramEnd"/>
            <w:r w:rsidRPr="008D5064">
              <w:t xml:space="preserve"> 2025</w:t>
            </w:r>
          </w:p>
        </w:tc>
        <w:tc>
          <w:tcPr>
            <w:tcW w:w="0" w:type="auto"/>
            <w:tcBorders>
              <w:top w:val="single" w:sz="6" w:space="0" w:color="auto"/>
              <w:left w:val="single" w:sz="6" w:space="0" w:color="auto"/>
              <w:bottom w:val="single" w:sz="6" w:space="0" w:color="auto"/>
              <w:right w:val="single" w:sz="6" w:space="0" w:color="auto"/>
            </w:tcBorders>
            <w:vAlign w:val="center"/>
            <w:hideMark/>
          </w:tcPr>
          <w:p w14:paraId="3116DF39" w14:textId="77777777" w:rsidR="008D5064" w:rsidRPr="008D5064" w:rsidRDefault="008D5064" w:rsidP="008D5064">
            <w:r w:rsidRPr="008D5064">
              <w:t xml:space="preserve">Bombardamento siti </w:t>
            </w:r>
            <w:proofErr w:type="spellStart"/>
            <w:r w:rsidRPr="008D5064">
              <w:t>Fordow</w:t>
            </w:r>
            <w:proofErr w:type="spellEnd"/>
            <w:r w:rsidRPr="008D5064">
              <w:t>, Isfahan e Natanz con ordigni anti-bunker.</w:t>
            </w:r>
            <w:r w:rsidRPr="008D5064">
              <w:rPr>
                <w:vertAlign w:val="superscript"/>
              </w:rPr>
              <w:t>2</w:t>
            </w:r>
          </w:p>
        </w:tc>
      </w:tr>
      <w:tr w:rsidR="008D5064" w:rsidRPr="008D5064" w14:paraId="3114C295"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CEFBC2F" w14:textId="77777777" w:rsidR="008D5064" w:rsidRPr="008D5064" w:rsidRDefault="008D5064" w:rsidP="008D5064">
            <w:r w:rsidRPr="008D5064">
              <w:t>Cessate il Fuoco Formale</w:t>
            </w:r>
          </w:p>
        </w:tc>
        <w:tc>
          <w:tcPr>
            <w:tcW w:w="0" w:type="auto"/>
            <w:tcBorders>
              <w:top w:val="single" w:sz="6" w:space="0" w:color="auto"/>
              <w:left w:val="single" w:sz="6" w:space="0" w:color="auto"/>
              <w:bottom w:val="single" w:sz="6" w:space="0" w:color="auto"/>
              <w:right w:val="single" w:sz="6" w:space="0" w:color="auto"/>
            </w:tcBorders>
            <w:vAlign w:val="center"/>
            <w:hideMark/>
          </w:tcPr>
          <w:p w14:paraId="441351BB" w14:textId="77777777" w:rsidR="008D5064" w:rsidRPr="008D5064" w:rsidRDefault="008D5064" w:rsidP="008D5064">
            <w:r w:rsidRPr="008D5064">
              <w:t xml:space="preserve">24 </w:t>
            </w:r>
            <w:proofErr w:type="gramStart"/>
            <w:r w:rsidRPr="008D5064">
              <w:t>Giugno</w:t>
            </w:r>
            <w:proofErr w:type="gramEnd"/>
            <w:r w:rsidRPr="008D5064">
              <w:t xml:space="preserve"> 2025</w:t>
            </w:r>
          </w:p>
        </w:tc>
        <w:tc>
          <w:tcPr>
            <w:tcW w:w="0" w:type="auto"/>
            <w:tcBorders>
              <w:top w:val="single" w:sz="6" w:space="0" w:color="auto"/>
              <w:left w:val="single" w:sz="6" w:space="0" w:color="auto"/>
              <w:bottom w:val="single" w:sz="6" w:space="0" w:color="auto"/>
              <w:right w:val="single" w:sz="6" w:space="0" w:color="auto"/>
            </w:tcBorders>
            <w:vAlign w:val="center"/>
            <w:hideMark/>
          </w:tcPr>
          <w:p w14:paraId="34335A1C" w14:textId="77777777" w:rsidR="008D5064" w:rsidRPr="008D5064" w:rsidRDefault="008D5064" w:rsidP="008D5064">
            <w:r w:rsidRPr="008D5064">
              <w:t>Accordo mediato dopo ritorsione iraniana su base USA in Qatar.</w:t>
            </w:r>
            <w:r w:rsidRPr="008D5064">
              <w:rPr>
                <w:vertAlign w:val="superscript"/>
              </w:rPr>
              <w:t>2</w:t>
            </w:r>
          </w:p>
        </w:tc>
      </w:tr>
      <w:tr w:rsidR="008D5064" w:rsidRPr="008D5064" w14:paraId="28E9F5A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479A2E0" w14:textId="77777777" w:rsidR="008D5064" w:rsidRPr="008D5064" w:rsidRDefault="008D5064" w:rsidP="008D5064">
            <w:r w:rsidRPr="008D5064">
              <w:lastRenderedPageBreak/>
              <w:t>Riattivazione Sanzioni ONU (</w:t>
            </w:r>
            <w:proofErr w:type="spellStart"/>
            <w:r w:rsidRPr="008D5064">
              <w:t>Snapback</w:t>
            </w:r>
            <w:proofErr w:type="spellEnd"/>
            <w:r w:rsidRPr="008D5064">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496A2F8F" w14:textId="77777777" w:rsidR="008D5064" w:rsidRPr="008D5064" w:rsidRDefault="008D5064" w:rsidP="008D5064">
            <w:r w:rsidRPr="008D5064">
              <w:t>Settembre 2025</w:t>
            </w:r>
          </w:p>
        </w:tc>
        <w:tc>
          <w:tcPr>
            <w:tcW w:w="0" w:type="auto"/>
            <w:tcBorders>
              <w:top w:val="single" w:sz="6" w:space="0" w:color="auto"/>
              <w:left w:val="single" w:sz="6" w:space="0" w:color="auto"/>
              <w:bottom w:val="single" w:sz="6" w:space="0" w:color="auto"/>
              <w:right w:val="single" w:sz="6" w:space="0" w:color="auto"/>
            </w:tcBorders>
            <w:vAlign w:val="center"/>
            <w:hideMark/>
          </w:tcPr>
          <w:p w14:paraId="09AF6608" w14:textId="77777777" w:rsidR="008D5064" w:rsidRPr="008D5064" w:rsidRDefault="008D5064" w:rsidP="008D5064">
            <w:r w:rsidRPr="008D5064">
              <w:t>Isolamento economico totale e fine formale del JCPOA.</w:t>
            </w:r>
            <w:r w:rsidRPr="008D5064">
              <w:rPr>
                <w:vertAlign w:val="superscript"/>
              </w:rPr>
              <w:t>4</w:t>
            </w:r>
          </w:p>
        </w:tc>
      </w:tr>
    </w:tbl>
    <w:p w14:paraId="32820313" w14:textId="35D1F804" w:rsidR="008D5064" w:rsidRPr="008D5064" w:rsidRDefault="008D5064" w:rsidP="008D5064">
      <w:r w:rsidRPr="008D5064">
        <w:t>L'attuale stallo, che dura dal luglio 2025, è considerato dagli osservatori come puramente formale. La Repubblica Islamica non ha rinunciato alle proprie ambizioni nucleari, ma ha semplicemente congelato le attività visibili mentre tenta di ricostruire le proprie difese aeree con il supporto russo e cinese.</w:t>
      </w:r>
      <w:r w:rsidRPr="008D5064">
        <w:rPr>
          <w:vertAlign w:val="superscript"/>
        </w:rPr>
        <w:t>8</w:t>
      </w:r>
      <w:r w:rsidRPr="008D5064">
        <w:t xml:space="preserve"> Tuttavia, l'erosione dell'autorità interna e la perdita di quadri tecnici e militari insostituibili hanno creato un vuoto di potere che Washington e Tel Aviv intendono colmare con quello che viene definito il "secondo round". Questo nuovo intervento non mira solo a distruggere ciò che resta del programma atomico, ma a consolidare un'architettura di sicurezza e produzione finanziaria che escluda definitivamente Teheran dai circuiti energetici globali.</w:t>
      </w:r>
    </w:p>
    <w:p w14:paraId="40BCCFF6" w14:textId="77777777" w:rsidR="008D5064" w:rsidRPr="008D5064" w:rsidRDefault="008D5064" w:rsidP="008D5064">
      <w:pPr>
        <w:rPr>
          <w:b/>
          <w:bCs/>
        </w:rPr>
      </w:pPr>
      <w:r w:rsidRPr="008D5064">
        <w:rPr>
          <w:b/>
          <w:bCs/>
        </w:rPr>
        <w:t>La Dottrina Trump 2025: Il Patto della Knesset e la Nuova Architettura Regionale</w:t>
      </w:r>
    </w:p>
    <w:p w14:paraId="2682E4F7" w14:textId="794F5B63" w:rsidR="008D5064" w:rsidRPr="008D5064" w:rsidRDefault="008D5064" w:rsidP="008D5064">
      <w:r w:rsidRPr="008D5064">
        <w:t>Nell'ottobre 2025, il Presidente Donald Trump ha pronunciato un discorso storico alla Knesset che ha delineato la dottrina "Pace attraverso la Forza e la Prosperità", un'evoluzione del realismo jacksoniano applicato alle complessità mediorientali. Questo intervento è seguito alla firma di una tregua strategica con Hamas, un accordo che molti analisti definiscono una "finta pace" necessaria per disimpegnare le risorse militari israeliane dal fronte sud.</w:t>
      </w:r>
      <w:r w:rsidRPr="008D5064">
        <w:rPr>
          <w:vertAlign w:val="superscript"/>
        </w:rPr>
        <w:t>8</w:t>
      </w:r>
      <w:r w:rsidRPr="008D5064">
        <w:t xml:space="preserve"> Secondo i termini dell'accordo, Hamas ha accettato di disarmare e cedere il controllo amministrativo di Gaza, permettendo all'IDF di riposizionare le sue divisioni d'élite e i suoi assetti aerei verso il "cuore del problema": l'Iran.</w:t>
      </w:r>
    </w:p>
    <w:p w14:paraId="06968DFB" w14:textId="51E4439C" w:rsidR="008D5064" w:rsidRPr="008D5064" w:rsidRDefault="008D5064" w:rsidP="008D5064">
      <w:r w:rsidRPr="008D5064">
        <w:t>La visione di Trump non si limita alla dimensione militare, ma si fonda su un'integrazione economica profonda che vede l'allargamento degli Accordi di Abramo a potenze come l'Arabia Saudita e il Kazakistan. Il messaggio inviato da Gerusalemme è stato chiaro: il "nuovo Medio Oriente" non può tollerare regimi che fungano da esportatori di instabilità. La stabilizzazione dell'area passa per il controllo totale delle rotte energetiche e la creazione di un mercato finanziario integrato che leghi indissolubilmente gli interessi arabi a quelli americani e israeliani.</w:t>
      </w:r>
      <w:r w:rsidRPr="008D5064">
        <w:rPr>
          <w:vertAlign w:val="superscript"/>
        </w:rPr>
        <w:t>13</w:t>
      </w:r>
      <w:r w:rsidRPr="008D5064">
        <w:t xml:space="preserve"> In questo contesto, l'Iran rappresenta l'unico ostacolo sistemico alla realizzazione di un corridoio economico che colleghi l'India all'Europa attraverso il Medio Oriente.</w:t>
      </w:r>
    </w:p>
    <w:p w14:paraId="58D19D24" w14:textId="77777777" w:rsidR="008D5064" w:rsidRPr="008D5064" w:rsidRDefault="008D5064" w:rsidP="008D5064">
      <w:r w:rsidRPr="008D5064">
        <w:t>La nuova dottrina si basa su tre pilastri fondamentali che differenziano l'attuale approccio da quelli delle amministrazioni precedenti:</w:t>
      </w:r>
    </w:p>
    <w:p w14:paraId="7C864870" w14:textId="3A8F8831" w:rsidR="008D5064" w:rsidRPr="008D5064" w:rsidRDefault="008D5064" w:rsidP="008D5064">
      <w:pPr>
        <w:numPr>
          <w:ilvl w:val="0"/>
          <w:numId w:val="1"/>
        </w:numPr>
      </w:pPr>
      <w:r w:rsidRPr="008D5064">
        <w:rPr>
          <w:b/>
          <w:bCs/>
        </w:rPr>
        <w:t>Massima Pressione Cinetica</w:t>
      </w:r>
      <w:r w:rsidRPr="008D5064">
        <w:t>: A differenza delle sanzioni puramente economiche del passato, la strategia 2025-2026 prevede l'uso della forza militare per rispondere preventivamente a ogni segnale di riarmo o repressione interna in Iran.</w:t>
      </w:r>
    </w:p>
    <w:p w14:paraId="4695F323" w14:textId="5C67A867" w:rsidR="008D5064" w:rsidRPr="008D5064" w:rsidRDefault="008D5064" w:rsidP="008D5064">
      <w:pPr>
        <w:numPr>
          <w:ilvl w:val="0"/>
          <w:numId w:val="1"/>
        </w:numPr>
      </w:pPr>
      <w:r w:rsidRPr="008D5064">
        <w:rPr>
          <w:b/>
          <w:bCs/>
        </w:rPr>
        <w:t>Incentivazione dell'Investimento Arabo</w:t>
      </w:r>
      <w:r w:rsidRPr="008D5064">
        <w:t>: L'apertura del mercato industriale e della difesa statunitense ai capitali del Golfo crea un "</w:t>
      </w:r>
      <w:proofErr w:type="spellStart"/>
      <w:r w:rsidRPr="008D5064">
        <w:t>moat</w:t>
      </w:r>
      <w:proofErr w:type="spellEnd"/>
      <w:r w:rsidRPr="008D5064">
        <w:t>" finanziario che protegge gli interessi americani dalle fluttuazioni causate dai conflitti regionali.</w:t>
      </w:r>
    </w:p>
    <w:p w14:paraId="019D68B3" w14:textId="148F97CA" w:rsidR="008D5064" w:rsidRPr="008D5064" w:rsidRDefault="008D5064" w:rsidP="008D5064">
      <w:pPr>
        <w:numPr>
          <w:ilvl w:val="0"/>
          <w:numId w:val="1"/>
        </w:numPr>
      </w:pPr>
      <w:r w:rsidRPr="008D5064">
        <w:rPr>
          <w:b/>
          <w:bCs/>
        </w:rPr>
        <w:t>Riallineamento Tecnologico</w:t>
      </w:r>
      <w:r w:rsidRPr="008D5064">
        <w:t>: La concessione di tecnologie sensibili (IA, semiconduttori, F-35) ai partner regionali è vincolata alla loro partecipazione attiva nel contenimento dell'influenza cinese e russa, oltre che iraniana.</w:t>
      </w:r>
    </w:p>
    <w:p w14:paraId="0EC64C7C" w14:textId="27589778" w:rsidR="008D5064" w:rsidRPr="008D5064" w:rsidRDefault="008D5064" w:rsidP="008D5064">
      <w:r w:rsidRPr="008D5064">
        <w:t xml:space="preserve">L'istituzione di un meccanismo di fusione dell'intelligence tra Israele, Siria e Stati Uniti nel gennaio 2026 è la prova tangibile di questo riallineamento. Il fatto che Damasco, storicamente alleata di Teheran, abbia accettato di collaborare alla de-escalation militare sotto la supervisione americana indica che l'isolamento della Repubblica Islamica ha raggiunto livelli critici, portando persino i suoi alleati storici a cercare protezione altrove. Questo isolamento geografico e diplomatico è la </w:t>
      </w:r>
      <w:r w:rsidRPr="008D5064">
        <w:lastRenderedPageBreak/>
        <w:t>condizione necessaria per il lancio del "secondo round", che non dovrà più temere l'apertura di fronti secondari da parte dell'Asse della Resistenza, ormai ampiamente degradato.</w:t>
      </w:r>
    </w:p>
    <w:p w14:paraId="6870E007" w14:textId="77777777" w:rsidR="008D5064" w:rsidRPr="008D5064" w:rsidRDefault="008D5064" w:rsidP="008D5064">
      <w:pPr>
        <w:rPr>
          <w:b/>
          <w:bCs/>
        </w:rPr>
      </w:pPr>
      <w:r w:rsidRPr="008D5064">
        <w:rPr>
          <w:b/>
          <w:bCs/>
        </w:rPr>
        <w:t>Il Fattore Economico: I 1.000 Miliardi di Riyadh e la Ristrutturazione Energetica</w:t>
      </w:r>
    </w:p>
    <w:p w14:paraId="4D4F4D9D" w14:textId="7C26B8F2" w:rsidR="008D5064" w:rsidRPr="008D5064" w:rsidRDefault="008D5064" w:rsidP="008D5064">
      <w:r w:rsidRPr="008D5064">
        <w:t>Il perno della strategia statunitense nel 2026 non risiede solo nei missili anti-bunker, ma nella cifra astronomica di 1.000 miliardi di dollari. L'Arabia Saudita, sotto la guida del principe Mohammed bin Salman, ha finalizzato una serie di accordi che trasformano radicalmente la natura della partnership con Washington. Quello che inizialmente era stato previsto come un investimento di 600 miliardi è stato incrementato a quasi un trilione di dollari, destinato a settori strategici dell'economia americana: difesa, intelligenza artificiale, infrastrutture ed energia nucleare civile.</w:t>
      </w:r>
    </w:p>
    <w:p w14:paraId="766152C1" w14:textId="688DA4AA" w:rsidR="008D5064" w:rsidRPr="008D5064" w:rsidRDefault="008D5064" w:rsidP="008D5064">
      <w:r w:rsidRPr="008D5064">
        <w:t>Questi investimenti non sono semplici acquisti di asset, ma rappresentano una fusione di interessi industriali che garantisce a Riyadh il ruolo di garante della stabilità energetica globale. In cambio di questo "</w:t>
      </w:r>
      <w:proofErr w:type="spellStart"/>
      <w:r w:rsidRPr="008D5064">
        <w:t>gigafinanziamento</w:t>
      </w:r>
      <w:proofErr w:type="spellEnd"/>
      <w:r w:rsidRPr="008D5064">
        <w:t>", Washington ha assunto l'impegno di garantire la sicurezza totale delle rotte petrolifere e di procedere alla "neutralizzazione" della concorrenza sleale rappresentata dall'Iran.</w:t>
      </w:r>
      <w:r w:rsidRPr="008D5064">
        <w:rPr>
          <w:vertAlign w:val="superscript"/>
        </w:rPr>
        <w:t>13</w:t>
      </w:r>
      <w:r w:rsidRPr="008D5064">
        <w:t xml:space="preserve"> Teheran, agendo al di fuori delle regole del mercato globale attraverso la sua "flotta ombra" e i prezzi scontati offerti alla Cina, ha rappresentato per anni una variabile impazzita che ha impedito una corretta pianificazione dei prezzi del greggio.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9"/>
        <w:gridCol w:w="2129"/>
        <w:gridCol w:w="4334"/>
      </w:tblGrid>
      <w:tr w:rsidR="008D5064" w:rsidRPr="008D5064" w14:paraId="158E4C69"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EB0A456" w14:textId="77777777" w:rsidR="008D5064" w:rsidRPr="008D5064" w:rsidRDefault="008D5064" w:rsidP="008D5064">
            <w:r w:rsidRPr="008D5064">
              <w:rPr>
                <w:b/>
                <w:bCs/>
              </w:rPr>
              <w:t>Settore di Investimento Saudita negli USA</w:t>
            </w:r>
          </w:p>
        </w:tc>
        <w:tc>
          <w:tcPr>
            <w:tcW w:w="0" w:type="auto"/>
            <w:tcBorders>
              <w:top w:val="single" w:sz="6" w:space="0" w:color="auto"/>
              <w:left w:val="single" w:sz="6" w:space="0" w:color="auto"/>
              <w:bottom w:val="single" w:sz="6" w:space="0" w:color="auto"/>
              <w:right w:val="single" w:sz="6" w:space="0" w:color="auto"/>
            </w:tcBorders>
            <w:vAlign w:val="center"/>
            <w:hideMark/>
          </w:tcPr>
          <w:p w14:paraId="299D3236" w14:textId="77777777" w:rsidR="008D5064" w:rsidRPr="008D5064" w:rsidRDefault="008D5064" w:rsidP="008D5064">
            <w:r w:rsidRPr="008D5064">
              <w:rPr>
                <w:b/>
                <w:bCs/>
              </w:rPr>
              <w:t>Ammontare Stimato (USD)</w:t>
            </w:r>
          </w:p>
        </w:tc>
        <w:tc>
          <w:tcPr>
            <w:tcW w:w="0" w:type="auto"/>
            <w:tcBorders>
              <w:top w:val="single" w:sz="6" w:space="0" w:color="auto"/>
              <w:left w:val="single" w:sz="6" w:space="0" w:color="auto"/>
              <w:bottom w:val="single" w:sz="6" w:space="0" w:color="auto"/>
              <w:right w:val="single" w:sz="6" w:space="0" w:color="auto"/>
            </w:tcBorders>
            <w:vAlign w:val="center"/>
            <w:hideMark/>
          </w:tcPr>
          <w:p w14:paraId="0E9C1996" w14:textId="77777777" w:rsidR="008D5064" w:rsidRPr="008D5064" w:rsidRDefault="008D5064" w:rsidP="008D5064">
            <w:r w:rsidRPr="008D5064">
              <w:rPr>
                <w:b/>
                <w:bCs/>
              </w:rPr>
              <w:t>Obiettivo Strategico</w:t>
            </w:r>
          </w:p>
        </w:tc>
      </w:tr>
      <w:tr w:rsidR="008D5064" w:rsidRPr="008D5064" w14:paraId="5494C3A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F162579" w14:textId="77777777" w:rsidR="008D5064" w:rsidRPr="008D5064" w:rsidRDefault="008D5064" w:rsidP="008D5064">
            <w:r w:rsidRPr="008D5064">
              <w:t>Difesa e Aerospazio</w:t>
            </w:r>
          </w:p>
        </w:tc>
        <w:tc>
          <w:tcPr>
            <w:tcW w:w="0" w:type="auto"/>
            <w:tcBorders>
              <w:top w:val="single" w:sz="6" w:space="0" w:color="auto"/>
              <w:left w:val="single" w:sz="6" w:space="0" w:color="auto"/>
              <w:bottom w:val="single" w:sz="6" w:space="0" w:color="auto"/>
              <w:right w:val="single" w:sz="6" w:space="0" w:color="auto"/>
            </w:tcBorders>
            <w:vAlign w:val="center"/>
            <w:hideMark/>
          </w:tcPr>
          <w:p w14:paraId="5FA857D1" w14:textId="77777777" w:rsidR="008D5064" w:rsidRPr="008D5064" w:rsidRDefault="008D5064" w:rsidP="008D5064">
            <w:r w:rsidRPr="008D5064">
              <w:t>$142 Miliardi</w:t>
            </w:r>
          </w:p>
        </w:tc>
        <w:tc>
          <w:tcPr>
            <w:tcW w:w="0" w:type="auto"/>
            <w:tcBorders>
              <w:top w:val="single" w:sz="6" w:space="0" w:color="auto"/>
              <w:left w:val="single" w:sz="6" w:space="0" w:color="auto"/>
              <w:bottom w:val="single" w:sz="6" w:space="0" w:color="auto"/>
              <w:right w:val="single" w:sz="6" w:space="0" w:color="auto"/>
            </w:tcBorders>
            <w:vAlign w:val="center"/>
            <w:hideMark/>
          </w:tcPr>
          <w:p w14:paraId="583DC3FE" w14:textId="2F6EF5F3" w:rsidR="008D5064" w:rsidRPr="008D5064" w:rsidRDefault="008D5064" w:rsidP="008D5064">
            <w:r w:rsidRPr="008D5064">
              <w:t>Acquisto F-35, carri M1 Abrams e sistemi di sorveglianza AI.</w:t>
            </w:r>
          </w:p>
        </w:tc>
      </w:tr>
      <w:tr w:rsidR="008D5064" w:rsidRPr="008D5064" w14:paraId="52F53CE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A2302CF" w14:textId="77777777" w:rsidR="008D5064" w:rsidRPr="008D5064" w:rsidRDefault="008D5064" w:rsidP="008D5064">
            <w:r w:rsidRPr="008D5064">
              <w:t>Infrastrutture e AI</w:t>
            </w:r>
          </w:p>
        </w:tc>
        <w:tc>
          <w:tcPr>
            <w:tcW w:w="0" w:type="auto"/>
            <w:tcBorders>
              <w:top w:val="single" w:sz="6" w:space="0" w:color="auto"/>
              <w:left w:val="single" w:sz="6" w:space="0" w:color="auto"/>
              <w:bottom w:val="single" w:sz="6" w:space="0" w:color="auto"/>
              <w:right w:val="single" w:sz="6" w:space="0" w:color="auto"/>
            </w:tcBorders>
            <w:vAlign w:val="center"/>
            <w:hideMark/>
          </w:tcPr>
          <w:p w14:paraId="5C2FA5ED" w14:textId="77777777" w:rsidR="008D5064" w:rsidRPr="008D5064" w:rsidRDefault="008D5064" w:rsidP="008D5064">
            <w:r w:rsidRPr="008D5064">
              <w:t>$80 Miliardi</w:t>
            </w:r>
          </w:p>
        </w:tc>
        <w:tc>
          <w:tcPr>
            <w:tcW w:w="0" w:type="auto"/>
            <w:tcBorders>
              <w:top w:val="single" w:sz="6" w:space="0" w:color="auto"/>
              <w:left w:val="single" w:sz="6" w:space="0" w:color="auto"/>
              <w:bottom w:val="single" w:sz="6" w:space="0" w:color="auto"/>
              <w:right w:val="single" w:sz="6" w:space="0" w:color="auto"/>
            </w:tcBorders>
            <w:vAlign w:val="center"/>
            <w:hideMark/>
          </w:tcPr>
          <w:p w14:paraId="2AFD5010" w14:textId="40C3796C" w:rsidR="008D5064" w:rsidRPr="008D5064" w:rsidRDefault="008D5064" w:rsidP="008D5064">
            <w:r w:rsidRPr="008D5064">
              <w:t>Joint venture con Nvidia, Google, Microsoft per data center giganti.</w:t>
            </w:r>
          </w:p>
        </w:tc>
      </w:tr>
      <w:tr w:rsidR="008D5064" w:rsidRPr="008D5064" w14:paraId="04F434C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52EEBAC" w14:textId="77777777" w:rsidR="008D5064" w:rsidRPr="008D5064" w:rsidRDefault="008D5064" w:rsidP="008D5064">
            <w:r w:rsidRPr="008D5064">
              <w:t>Fondi per l'Industria della Difesa</w:t>
            </w:r>
          </w:p>
        </w:tc>
        <w:tc>
          <w:tcPr>
            <w:tcW w:w="0" w:type="auto"/>
            <w:tcBorders>
              <w:top w:val="single" w:sz="6" w:space="0" w:color="auto"/>
              <w:left w:val="single" w:sz="6" w:space="0" w:color="auto"/>
              <w:bottom w:val="single" w:sz="6" w:space="0" w:color="auto"/>
              <w:right w:val="single" w:sz="6" w:space="0" w:color="auto"/>
            </w:tcBorders>
            <w:vAlign w:val="center"/>
            <w:hideMark/>
          </w:tcPr>
          <w:p w14:paraId="1413F955" w14:textId="77777777" w:rsidR="008D5064" w:rsidRPr="008D5064" w:rsidRDefault="008D5064" w:rsidP="008D5064">
            <w:r w:rsidRPr="008D5064">
              <w:t>$5 Miliardi</w:t>
            </w:r>
          </w:p>
        </w:tc>
        <w:tc>
          <w:tcPr>
            <w:tcW w:w="0" w:type="auto"/>
            <w:tcBorders>
              <w:top w:val="single" w:sz="6" w:space="0" w:color="auto"/>
              <w:left w:val="single" w:sz="6" w:space="0" w:color="auto"/>
              <w:bottom w:val="single" w:sz="6" w:space="0" w:color="auto"/>
              <w:right w:val="single" w:sz="6" w:space="0" w:color="auto"/>
            </w:tcBorders>
            <w:vAlign w:val="center"/>
            <w:hideMark/>
          </w:tcPr>
          <w:p w14:paraId="5D50EF2B" w14:textId="3605C1F6" w:rsidR="008D5064" w:rsidRPr="008D5064" w:rsidRDefault="008D5064" w:rsidP="008D5064">
            <w:r w:rsidRPr="008D5064">
              <w:t>Supporto a Lockheed Martin, Boeing e Raytheon per R&amp;D.</w:t>
            </w:r>
          </w:p>
        </w:tc>
      </w:tr>
      <w:tr w:rsidR="008D5064" w:rsidRPr="008D5064" w14:paraId="34DD5AFF"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79A0000" w14:textId="77777777" w:rsidR="008D5064" w:rsidRPr="008D5064" w:rsidRDefault="008D5064" w:rsidP="008D5064">
            <w:r w:rsidRPr="008D5064">
              <w:t>Energia Nucleare Civile</w:t>
            </w:r>
          </w:p>
        </w:tc>
        <w:tc>
          <w:tcPr>
            <w:tcW w:w="0" w:type="auto"/>
            <w:tcBorders>
              <w:top w:val="single" w:sz="6" w:space="0" w:color="auto"/>
              <w:left w:val="single" w:sz="6" w:space="0" w:color="auto"/>
              <w:bottom w:val="single" w:sz="6" w:space="0" w:color="auto"/>
              <w:right w:val="single" w:sz="6" w:space="0" w:color="auto"/>
            </w:tcBorders>
            <w:vAlign w:val="center"/>
            <w:hideMark/>
          </w:tcPr>
          <w:p w14:paraId="59FED8F0" w14:textId="77777777" w:rsidR="008D5064" w:rsidRPr="008D5064" w:rsidRDefault="008D5064" w:rsidP="008D5064">
            <w:r w:rsidRPr="008D5064">
              <w:t>Accordo Quadro</w:t>
            </w:r>
          </w:p>
        </w:tc>
        <w:tc>
          <w:tcPr>
            <w:tcW w:w="0" w:type="auto"/>
            <w:tcBorders>
              <w:top w:val="single" w:sz="6" w:space="0" w:color="auto"/>
              <w:left w:val="single" w:sz="6" w:space="0" w:color="auto"/>
              <w:bottom w:val="single" w:sz="6" w:space="0" w:color="auto"/>
              <w:right w:val="single" w:sz="6" w:space="0" w:color="auto"/>
            </w:tcBorders>
            <w:vAlign w:val="center"/>
            <w:hideMark/>
          </w:tcPr>
          <w:p w14:paraId="20D56055" w14:textId="057270E3" w:rsidR="008D5064" w:rsidRPr="008D5064" w:rsidRDefault="008D5064" w:rsidP="008D5064">
            <w:r w:rsidRPr="008D5064">
              <w:t>Sviluppo di capacità nucleari autonome sotto supervisione USA.</w:t>
            </w:r>
          </w:p>
        </w:tc>
      </w:tr>
      <w:tr w:rsidR="008D5064" w:rsidRPr="008D5064" w14:paraId="426EFC6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AF8B25E" w14:textId="77777777" w:rsidR="008D5064" w:rsidRPr="008D5064" w:rsidRDefault="008D5064" w:rsidP="008D5064">
            <w:r w:rsidRPr="008D5064">
              <w:t>Semiconduttori e Supercalcolo</w:t>
            </w:r>
          </w:p>
        </w:tc>
        <w:tc>
          <w:tcPr>
            <w:tcW w:w="0" w:type="auto"/>
            <w:tcBorders>
              <w:top w:val="single" w:sz="6" w:space="0" w:color="auto"/>
              <w:left w:val="single" w:sz="6" w:space="0" w:color="auto"/>
              <w:bottom w:val="single" w:sz="6" w:space="0" w:color="auto"/>
              <w:right w:val="single" w:sz="6" w:space="0" w:color="auto"/>
            </w:tcBorders>
            <w:vAlign w:val="center"/>
            <w:hideMark/>
          </w:tcPr>
          <w:p w14:paraId="21DF8FCD" w14:textId="77777777" w:rsidR="008D5064" w:rsidRPr="008D5064" w:rsidRDefault="008D5064" w:rsidP="008D5064">
            <w:r w:rsidRPr="008D5064">
              <w:t>$50 Miliardi</w:t>
            </w:r>
          </w:p>
        </w:tc>
        <w:tc>
          <w:tcPr>
            <w:tcW w:w="0" w:type="auto"/>
            <w:tcBorders>
              <w:top w:val="single" w:sz="6" w:space="0" w:color="auto"/>
              <w:left w:val="single" w:sz="6" w:space="0" w:color="auto"/>
              <w:bottom w:val="single" w:sz="6" w:space="0" w:color="auto"/>
              <w:right w:val="single" w:sz="6" w:space="0" w:color="auto"/>
            </w:tcBorders>
            <w:vAlign w:val="center"/>
            <w:hideMark/>
          </w:tcPr>
          <w:p w14:paraId="189C622C" w14:textId="3F5BA906" w:rsidR="008D5064" w:rsidRPr="008D5064" w:rsidRDefault="008D5064" w:rsidP="008D5064">
            <w:r w:rsidRPr="008D5064">
              <w:t>Acquisizione di chip avanzati per la Vision 2030 e difesa autonoma.</w:t>
            </w:r>
          </w:p>
        </w:tc>
      </w:tr>
    </w:tbl>
    <w:p w14:paraId="36D549F7" w14:textId="20CCA4FF" w:rsidR="008D5064" w:rsidRPr="008D5064" w:rsidRDefault="008D5064" w:rsidP="008D5064">
      <w:r w:rsidRPr="008D5064">
        <w:t>La caduta del regime a Teheran o la sua drastica marginalizzazione porterebbero all'apertura delle riserve iraniane al mercato globale sotto l'egida degli Accordi di Abramo. Questo scenario eliminerebbe il costo extra che i mercati hanno storicamente pagato come "tassa sull'instabilità" legata al rischio di chiusura dello Stretto di Hormuz. Le proiezioni saudite indicano che un Iran stabilizzato e integrato nel sistema industriale occidentale porterebbe a un'era di petrolio a prezzi contenuti (circa 65 dollari al barile), eliminando i picchi di volatilità che favoriscono solo le economie canaglia e danneggiano la pianificazione a lungo termine dei paesi consumatori.</w:t>
      </w:r>
    </w:p>
    <w:p w14:paraId="2F836711" w14:textId="4100C2AF" w:rsidR="008D5064" w:rsidRPr="008D5064" w:rsidRDefault="008D5064" w:rsidP="008D5064">
      <w:r w:rsidRPr="008D5064">
        <w:t xml:space="preserve">Il sequestro della petroliera "Bella 1" nel gennaio 2026, operato dalle forze statunitensi con il supporto del Regno Unito, ha segnato l'inizio della fase operativa di questo strangolamento economico. La nave, parte della flotta ombra venezuelano-iraniana, rappresenta il simbolo di un sistema di commercio illecito che Washington è ora determinata a smantellare fisicamente. La gestione delle risorse energetiche del Venezuela, posta sotto controllo statunitense dopo la cattura di Maduro, funge da </w:t>
      </w:r>
      <w:r w:rsidRPr="008D5064">
        <w:lastRenderedPageBreak/>
        <w:t>modello per ciò che potrebbe accadere in Iran: un controllo centralizzato delle entrate petrolifere per finanziare la transizione verso un nuovo ordine politico.</w:t>
      </w:r>
    </w:p>
    <w:p w14:paraId="5F15C4F3" w14:textId="77777777" w:rsidR="008D5064" w:rsidRPr="008D5064" w:rsidRDefault="008D5064" w:rsidP="008D5064">
      <w:pPr>
        <w:rPr>
          <w:b/>
          <w:bCs/>
        </w:rPr>
      </w:pPr>
      <w:r w:rsidRPr="008D5064">
        <w:rPr>
          <w:b/>
          <w:bCs/>
        </w:rPr>
        <w:t xml:space="preserve">L'Insurrezione di </w:t>
      </w:r>
      <w:proofErr w:type="gramStart"/>
      <w:r w:rsidRPr="008D5064">
        <w:rPr>
          <w:b/>
          <w:bCs/>
        </w:rPr>
        <w:t>Gennaio</w:t>
      </w:r>
      <w:proofErr w:type="gramEnd"/>
      <w:r w:rsidRPr="008D5064">
        <w:rPr>
          <w:b/>
          <w:bCs/>
        </w:rPr>
        <w:t xml:space="preserve"> 2026: Anatomia di un Collasso Sistemico</w:t>
      </w:r>
    </w:p>
    <w:p w14:paraId="61318CF2" w14:textId="16431143" w:rsidR="008D5064" w:rsidRPr="008D5064" w:rsidRDefault="008D5064" w:rsidP="008D5064">
      <w:r w:rsidRPr="008D5064">
        <w:t>L'Iran che si affaccia alla primavera del 2026 non è semplicemente un paese in crisi; è una nazione in fase di "rottura sistemica". Le proteste scoppiate il 28 dicembre 2025 e intensificatesi in questo gennaio sono qualitativamente diverse dalle rivolte del 2022 ("Donna, Vita, Libertà"). Mentre queste ultime erano guidate da istanze sociali e culturali, il movimento attuale è alimentato da un collasso economico catastrofico che ha eroso la capacità di sopravvivenza stessa della popolazione.</w:t>
      </w:r>
    </w:p>
    <w:p w14:paraId="44F9049E" w14:textId="25FA00EC" w:rsidR="008D5064" w:rsidRPr="008D5064" w:rsidRDefault="008D5064" w:rsidP="008D5064">
      <w:r w:rsidRPr="008D5064">
        <w:t>L'economia iraniana è entrata in un ciclo di instabilità autoalimentante. L'arricchimento dell'uranio al 90% ha innescato lo "</w:t>
      </w:r>
      <w:proofErr w:type="spellStart"/>
      <w:r w:rsidRPr="008D5064">
        <w:t>snapback</w:t>
      </w:r>
      <w:proofErr w:type="spellEnd"/>
      <w:r w:rsidRPr="008D5064">
        <w:t>" delle sanzioni ONU, chiudendo le ultime finestre di commercio legale e portando il Rial a un tasso di cambio di 1,47 milioni per 1 Dollaro USA.</w:t>
      </w:r>
      <w:r w:rsidRPr="008D5064">
        <w:rPr>
          <w:vertAlign w:val="superscript"/>
        </w:rPr>
        <w:t>4</w:t>
      </w:r>
      <w:r w:rsidRPr="008D5064">
        <w:t xml:space="preserve"> L'inflazione alimentare ha superato il 75%, rendendo i beni di prima necessità inaccessibili a milioni di cittadini. In risposta, il regime ha tentato di introdurre sussidi elettronici (vouchers) del valore di soli </w:t>
      </w:r>
      <w:proofErr w:type="gramStart"/>
      <w:r w:rsidRPr="008D5064">
        <w:t>7</w:t>
      </w:r>
      <w:proofErr w:type="gramEnd"/>
      <w:r w:rsidRPr="008D5064">
        <w:t xml:space="preserve"> dollari al mese, una misura accolta con derisione e rabbia dalle piazze.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27"/>
        <w:gridCol w:w="1889"/>
        <w:gridCol w:w="4706"/>
      </w:tblGrid>
      <w:tr w:rsidR="008D5064" w:rsidRPr="008D5064" w14:paraId="0DCED8C6"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0330009" w14:textId="77777777" w:rsidR="008D5064" w:rsidRPr="008D5064" w:rsidRDefault="008D5064" w:rsidP="008D5064">
            <w:r w:rsidRPr="008D5064">
              <w:rPr>
                <w:b/>
                <w:bCs/>
              </w:rPr>
              <w:t>Indicatore Macroeconomico Iran</w:t>
            </w:r>
          </w:p>
        </w:tc>
        <w:tc>
          <w:tcPr>
            <w:tcW w:w="0" w:type="auto"/>
            <w:tcBorders>
              <w:top w:val="single" w:sz="6" w:space="0" w:color="auto"/>
              <w:left w:val="single" w:sz="6" w:space="0" w:color="auto"/>
              <w:bottom w:val="single" w:sz="6" w:space="0" w:color="auto"/>
              <w:right w:val="single" w:sz="6" w:space="0" w:color="auto"/>
            </w:tcBorders>
            <w:vAlign w:val="center"/>
            <w:hideMark/>
          </w:tcPr>
          <w:p w14:paraId="5F951C8E" w14:textId="77777777" w:rsidR="008D5064" w:rsidRPr="008D5064" w:rsidRDefault="008D5064" w:rsidP="008D5064">
            <w:r w:rsidRPr="008D5064">
              <w:rPr>
                <w:b/>
                <w:bCs/>
              </w:rPr>
              <w:t xml:space="preserve">Valore </w:t>
            </w:r>
            <w:proofErr w:type="gramStart"/>
            <w:r w:rsidRPr="008D5064">
              <w:rPr>
                <w:b/>
                <w:bCs/>
              </w:rPr>
              <w:t>Gennaio</w:t>
            </w:r>
            <w:proofErr w:type="gramEnd"/>
            <w:r w:rsidRPr="008D5064">
              <w:rPr>
                <w:b/>
                <w:bCs/>
              </w:rPr>
              <w:t xml:space="preserve"> 2026</w:t>
            </w:r>
          </w:p>
        </w:tc>
        <w:tc>
          <w:tcPr>
            <w:tcW w:w="0" w:type="auto"/>
            <w:tcBorders>
              <w:top w:val="single" w:sz="6" w:space="0" w:color="auto"/>
              <w:left w:val="single" w:sz="6" w:space="0" w:color="auto"/>
              <w:bottom w:val="single" w:sz="6" w:space="0" w:color="auto"/>
              <w:right w:val="single" w:sz="6" w:space="0" w:color="auto"/>
            </w:tcBorders>
            <w:vAlign w:val="center"/>
            <w:hideMark/>
          </w:tcPr>
          <w:p w14:paraId="767551C5" w14:textId="77777777" w:rsidR="008D5064" w:rsidRPr="008D5064" w:rsidRDefault="008D5064" w:rsidP="008D5064">
            <w:r w:rsidRPr="008D5064">
              <w:rPr>
                <w:b/>
                <w:bCs/>
              </w:rPr>
              <w:t>Tendenza / Implicazione</w:t>
            </w:r>
          </w:p>
        </w:tc>
      </w:tr>
      <w:tr w:rsidR="008D5064" w:rsidRPr="008D5064" w14:paraId="6111D790"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35ECE1D" w14:textId="77777777" w:rsidR="008D5064" w:rsidRPr="008D5064" w:rsidRDefault="008D5064" w:rsidP="008D5064">
            <w:r w:rsidRPr="008D5064">
              <w:t>Tasso di Cambio Rial/USD</w:t>
            </w:r>
          </w:p>
        </w:tc>
        <w:tc>
          <w:tcPr>
            <w:tcW w:w="0" w:type="auto"/>
            <w:tcBorders>
              <w:top w:val="single" w:sz="6" w:space="0" w:color="auto"/>
              <w:left w:val="single" w:sz="6" w:space="0" w:color="auto"/>
              <w:bottom w:val="single" w:sz="6" w:space="0" w:color="auto"/>
              <w:right w:val="single" w:sz="6" w:space="0" w:color="auto"/>
            </w:tcBorders>
            <w:vAlign w:val="center"/>
            <w:hideMark/>
          </w:tcPr>
          <w:p w14:paraId="7716127D" w14:textId="19C6D353" w:rsidR="008D5064" w:rsidRPr="008D5064" w:rsidRDefault="008D5064" w:rsidP="008D5064">
            <w:proofErr w:type="gramStart"/>
            <w:r w:rsidRPr="008D5064">
              <w:t>1.470.000 :</w:t>
            </w:r>
            <w:proofErr w:type="gramEnd"/>
            <w:r w:rsidRPr="008D5064">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14:paraId="24D02B17" w14:textId="7BA5E9F2" w:rsidR="008D5064" w:rsidRPr="008D5064" w:rsidRDefault="008D5064" w:rsidP="008D5064">
            <w:r w:rsidRPr="008D5064">
              <w:t>Collasso valutario totale; distruzione risparmi.</w:t>
            </w:r>
          </w:p>
        </w:tc>
      </w:tr>
      <w:tr w:rsidR="008D5064" w:rsidRPr="008D5064" w14:paraId="7C3A05D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48790B9" w14:textId="77777777" w:rsidR="008D5064" w:rsidRPr="008D5064" w:rsidRDefault="008D5064" w:rsidP="008D5064">
            <w:r w:rsidRPr="008D5064">
              <w:t>Inflazione Alimentare</w:t>
            </w:r>
          </w:p>
        </w:tc>
        <w:tc>
          <w:tcPr>
            <w:tcW w:w="0" w:type="auto"/>
            <w:tcBorders>
              <w:top w:val="single" w:sz="6" w:space="0" w:color="auto"/>
              <w:left w:val="single" w:sz="6" w:space="0" w:color="auto"/>
              <w:bottom w:val="single" w:sz="6" w:space="0" w:color="auto"/>
              <w:right w:val="single" w:sz="6" w:space="0" w:color="auto"/>
            </w:tcBorders>
            <w:vAlign w:val="center"/>
            <w:hideMark/>
          </w:tcPr>
          <w:p w14:paraId="5FC7C1C7" w14:textId="77777777" w:rsidR="008D5064" w:rsidRPr="008D5064" w:rsidRDefault="008D5064" w:rsidP="008D5064">
            <w:r w:rsidRPr="008D5064">
              <w:t>75,4%</w:t>
            </w:r>
          </w:p>
        </w:tc>
        <w:tc>
          <w:tcPr>
            <w:tcW w:w="0" w:type="auto"/>
            <w:tcBorders>
              <w:top w:val="single" w:sz="6" w:space="0" w:color="auto"/>
              <w:left w:val="single" w:sz="6" w:space="0" w:color="auto"/>
              <w:bottom w:val="single" w:sz="6" w:space="0" w:color="auto"/>
              <w:right w:val="single" w:sz="6" w:space="0" w:color="auto"/>
            </w:tcBorders>
            <w:vAlign w:val="center"/>
            <w:hideMark/>
          </w:tcPr>
          <w:p w14:paraId="0D61CE75" w14:textId="270CDE1B" w:rsidR="008D5064" w:rsidRPr="008D5064" w:rsidRDefault="008D5064" w:rsidP="008D5064">
            <w:r w:rsidRPr="008D5064">
              <w:t>Rischio carestia e disordini per il pane.</w:t>
            </w:r>
          </w:p>
        </w:tc>
      </w:tr>
      <w:tr w:rsidR="008D5064" w:rsidRPr="008D5064" w14:paraId="7C10AFD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8FEF0CE" w14:textId="77777777" w:rsidR="008D5064" w:rsidRPr="008D5064" w:rsidRDefault="008D5064" w:rsidP="008D5064">
            <w:r w:rsidRPr="008D5064">
              <w:t>Crescita PIL Reale</w:t>
            </w:r>
          </w:p>
        </w:tc>
        <w:tc>
          <w:tcPr>
            <w:tcW w:w="0" w:type="auto"/>
            <w:tcBorders>
              <w:top w:val="single" w:sz="6" w:space="0" w:color="auto"/>
              <w:left w:val="single" w:sz="6" w:space="0" w:color="auto"/>
              <w:bottom w:val="single" w:sz="6" w:space="0" w:color="auto"/>
              <w:right w:val="single" w:sz="6" w:space="0" w:color="auto"/>
            </w:tcBorders>
            <w:vAlign w:val="center"/>
            <w:hideMark/>
          </w:tcPr>
          <w:p w14:paraId="4768F7A9" w14:textId="77777777" w:rsidR="008D5064" w:rsidRPr="008D5064" w:rsidRDefault="008D5064" w:rsidP="008D5064">
            <w:r w:rsidRPr="008D5064">
              <w:t>0,6% - 1,1%</w:t>
            </w:r>
          </w:p>
        </w:tc>
        <w:tc>
          <w:tcPr>
            <w:tcW w:w="0" w:type="auto"/>
            <w:tcBorders>
              <w:top w:val="single" w:sz="6" w:space="0" w:color="auto"/>
              <w:left w:val="single" w:sz="6" w:space="0" w:color="auto"/>
              <w:bottom w:val="single" w:sz="6" w:space="0" w:color="auto"/>
              <w:right w:val="single" w:sz="6" w:space="0" w:color="auto"/>
            </w:tcBorders>
            <w:vAlign w:val="center"/>
            <w:hideMark/>
          </w:tcPr>
          <w:p w14:paraId="20F1ECA8" w14:textId="33B16895" w:rsidR="008D5064" w:rsidRPr="008D5064" w:rsidRDefault="008D5064" w:rsidP="008D5064">
            <w:r w:rsidRPr="008D5064">
              <w:t>Stagnazione industriale e recessione strutturale.</w:t>
            </w:r>
          </w:p>
        </w:tc>
      </w:tr>
      <w:tr w:rsidR="008D5064" w:rsidRPr="008D5064" w14:paraId="4835702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7369789" w14:textId="77777777" w:rsidR="008D5064" w:rsidRPr="008D5064" w:rsidRDefault="008D5064" w:rsidP="008D5064">
            <w:r w:rsidRPr="008D5064">
              <w:t>Debito Nazionale Lordo</w:t>
            </w:r>
          </w:p>
        </w:tc>
        <w:tc>
          <w:tcPr>
            <w:tcW w:w="0" w:type="auto"/>
            <w:tcBorders>
              <w:top w:val="single" w:sz="6" w:space="0" w:color="auto"/>
              <w:left w:val="single" w:sz="6" w:space="0" w:color="auto"/>
              <w:bottom w:val="single" w:sz="6" w:space="0" w:color="auto"/>
              <w:right w:val="single" w:sz="6" w:space="0" w:color="auto"/>
            </w:tcBorders>
            <w:vAlign w:val="center"/>
            <w:hideMark/>
          </w:tcPr>
          <w:p w14:paraId="746020BB" w14:textId="77777777" w:rsidR="008D5064" w:rsidRPr="008D5064" w:rsidRDefault="008D5064" w:rsidP="008D5064">
            <w:r w:rsidRPr="008D5064">
              <w:t>36,4% del PIL</w:t>
            </w:r>
          </w:p>
        </w:tc>
        <w:tc>
          <w:tcPr>
            <w:tcW w:w="0" w:type="auto"/>
            <w:tcBorders>
              <w:top w:val="single" w:sz="6" w:space="0" w:color="auto"/>
              <w:left w:val="single" w:sz="6" w:space="0" w:color="auto"/>
              <w:bottom w:val="single" w:sz="6" w:space="0" w:color="auto"/>
              <w:right w:val="single" w:sz="6" w:space="0" w:color="auto"/>
            </w:tcBorders>
            <w:vAlign w:val="center"/>
            <w:hideMark/>
          </w:tcPr>
          <w:p w14:paraId="26D4AE74" w14:textId="3805ED80" w:rsidR="008D5064" w:rsidRPr="008D5064" w:rsidRDefault="008D5064" w:rsidP="008D5064">
            <w:r w:rsidRPr="008D5064">
              <w:t>Incapacità di finanziare la spesa pubblica e la repressione.</w:t>
            </w:r>
          </w:p>
        </w:tc>
      </w:tr>
      <w:tr w:rsidR="008D5064" w:rsidRPr="008D5064" w14:paraId="3A9E28C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51D7EF6" w14:textId="77777777" w:rsidR="008D5064" w:rsidRPr="008D5064" w:rsidRDefault="008D5064" w:rsidP="008D5064">
            <w:r w:rsidRPr="008D5064">
              <w:t>Indice PMI Industriale</w:t>
            </w:r>
          </w:p>
        </w:tc>
        <w:tc>
          <w:tcPr>
            <w:tcW w:w="0" w:type="auto"/>
            <w:tcBorders>
              <w:top w:val="single" w:sz="6" w:space="0" w:color="auto"/>
              <w:left w:val="single" w:sz="6" w:space="0" w:color="auto"/>
              <w:bottom w:val="single" w:sz="6" w:space="0" w:color="auto"/>
              <w:right w:val="single" w:sz="6" w:space="0" w:color="auto"/>
            </w:tcBorders>
            <w:vAlign w:val="center"/>
            <w:hideMark/>
          </w:tcPr>
          <w:p w14:paraId="179C6C93" w14:textId="77777777" w:rsidR="008D5064" w:rsidRPr="008D5064" w:rsidRDefault="008D5064" w:rsidP="008D5064">
            <w:r w:rsidRPr="008D5064">
              <w:t>49,9 (-3,4%)</w:t>
            </w:r>
          </w:p>
        </w:tc>
        <w:tc>
          <w:tcPr>
            <w:tcW w:w="0" w:type="auto"/>
            <w:tcBorders>
              <w:top w:val="single" w:sz="6" w:space="0" w:color="auto"/>
              <w:left w:val="single" w:sz="6" w:space="0" w:color="auto"/>
              <w:bottom w:val="single" w:sz="6" w:space="0" w:color="auto"/>
              <w:right w:val="single" w:sz="6" w:space="0" w:color="auto"/>
            </w:tcBorders>
            <w:vAlign w:val="center"/>
            <w:hideMark/>
          </w:tcPr>
          <w:p w14:paraId="66FE08A2" w14:textId="56752B61" w:rsidR="008D5064" w:rsidRPr="008D5064" w:rsidRDefault="008D5064" w:rsidP="008D5064">
            <w:r w:rsidRPr="008D5064">
              <w:t>Contrazione delle attività minerarie e manifatturiere.</w:t>
            </w:r>
          </w:p>
        </w:tc>
      </w:tr>
    </w:tbl>
    <w:p w14:paraId="608E889F" w14:textId="03021F73" w:rsidR="008D5064" w:rsidRPr="008D5064" w:rsidRDefault="008D5064" w:rsidP="008D5064">
      <w:r w:rsidRPr="008D5064">
        <w:t>Oltre al fattore economico, il regime deve affrontare una crisi di legittimità biologica. La salute dell'Ayatollah Khamenei è in uno stato critico, con segnalazioni di gravi disabilità cognitive ed episodi di coma che hanno creato un vuoto decisionale assoluto. Questa paralisi al vertice ha innescato una guerra sotterranea tra le fazioni dei Pasdaran, impegnate a proteggere i propri cartelli economici (</w:t>
      </w:r>
      <w:proofErr w:type="spellStart"/>
      <w:r w:rsidRPr="008D5064">
        <w:t>bonyads</w:t>
      </w:r>
      <w:proofErr w:type="spellEnd"/>
      <w:r w:rsidRPr="008D5064">
        <w:t>), e l'esercito regolare (</w:t>
      </w:r>
      <w:proofErr w:type="spellStart"/>
      <w:r w:rsidRPr="008D5064">
        <w:t>Artesh</w:t>
      </w:r>
      <w:proofErr w:type="spellEnd"/>
      <w:r w:rsidRPr="008D5064">
        <w:t>), i cui ranghi sono decimati dalle defezioni e dal morale ai minimi storici dopo le sconfitte di giugno.</w:t>
      </w:r>
    </w:p>
    <w:p w14:paraId="5129D578" w14:textId="11F67BC1" w:rsidR="008D5064" w:rsidRPr="008D5064" w:rsidRDefault="008D5064" w:rsidP="008D5064">
      <w:pPr>
        <w:rPr>
          <w:vertAlign w:val="superscript"/>
        </w:rPr>
      </w:pPr>
      <w:r w:rsidRPr="008D5064">
        <w:t>Un elemento di novità assoluta è rappresentato dal "</w:t>
      </w:r>
      <w:proofErr w:type="spellStart"/>
      <w:r w:rsidRPr="008D5064">
        <w:t>Mobarizoun</w:t>
      </w:r>
      <w:proofErr w:type="spellEnd"/>
      <w:r w:rsidRPr="008D5064">
        <w:t xml:space="preserve"> </w:t>
      </w:r>
      <w:proofErr w:type="spellStart"/>
      <w:r w:rsidRPr="008D5064">
        <w:t>People's</w:t>
      </w:r>
      <w:proofErr w:type="spellEnd"/>
      <w:r w:rsidRPr="008D5064">
        <w:t xml:space="preserve"> Front", una coalizione di gruppi di opposizione armata che operano nelle periferie etniche, in particolare tra i Baluchi e i Curdi. Gruppi come Jaish al-Adl hanno dichiarato apertamente il proprio sostegno alle proteste nazionali, avvertendo che risponderanno con le armi a ogni tentativo del regime di utilizzare la forza letale contro i civili.</w:t>
      </w:r>
      <w:r w:rsidRPr="008D5064">
        <w:rPr>
          <w:vertAlign w:val="superscript"/>
        </w:rPr>
        <w:t>4</w:t>
      </w:r>
      <w:r w:rsidRPr="008D5064">
        <w:t xml:space="preserve"> L'emergere di un'opposizione organizzata e potenzialmente armata trasforma la crisi da una protesta di piazza in una potenziale guerra civile, offrendo agli Stati Uniti il pretesto perfetto per un intervento di "supporto tattico" in nome della protezione della popolazione.</w:t>
      </w:r>
    </w:p>
    <w:p w14:paraId="6B86C5D7" w14:textId="77777777" w:rsidR="008D5064" w:rsidRPr="008D5064" w:rsidRDefault="008D5064" w:rsidP="008D5064">
      <w:pPr>
        <w:rPr>
          <w:b/>
          <w:bCs/>
        </w:rPr>
      </w:pPr>
      <w:r w:rsidRPr="008D5064">
        <w:rPr>
          <w:b/>
          <w:bCs/>
        </w:rPr>
        <w:t xml:space="preserve">Il Ruolo dei Pasdaran vs. </w:t>
      </w:r>
      <w:proofErr w:type="spellStart"/>
      <w:r w:rsidRPr="008D5064">
        <w:rPr>
          <w:b/>
          <w:bCs/>
        </w:rPr>
        <w:t>Artesh</w:t>
      </w:r>
      <w:proofErr w:type="spellEnd"/>
      <w:r w:rsidRPr="008D5064">
        <w:rPr>
          <w:b/>
          <w:bCs/>
        </w:rPr>
        <w:t>: Frammentazione dell'Apparato Repressivo</w:t>
      </w:r>
    </w:p>
    <w:p w14:paraId="2C60B022" w14:textId="15F1D1AE" w:rsidR="008D5064" w:rsidRPr="008D5064" w:rsidRDefault="008D5064" w:rsidP="008D5064">
      <w:r w:rsidRPr="008D5064">
        <w:t>Il morale dei Pasdaran, pilastro della Repubblica Islamica, è stato gravemente compromesso dalla morte di oltre 30 comandanti di alto livello durante la Guerra dei Dodici Giorni.</w:t>
      </w:r>
      <w:r>
        <w:rPr>
          <w:vertAlign w:val="superscript"/>
        </w:rPr>
        <w:t xml:space="preserve"> </w:t>
      </w:r>
      <w:r w:rsidRPr="008D5064">
        <w:t xml:space="preserve"> La perdita di figure carismatiche e tecnicamente competenti come Hajizadeh ha lasciato un vuoto che le nuove nomine, </w:t>
      </w:r>
      <w:r w:rsidRPr="008D5064">
        <w:lastRenderedPageBreak/>
        <w:t>basate più sulla lealtà ideologica che sulla competenza militare, non sono riuscite a colmare. Le indagini interne condotte dopo il conflitto hanno rivelato un livello di infiltrazione dell'intelligence israeliana talmente profondo da scuotere la fiducia interna: il fatto che Israele sia riuscito a colpire con precisione millimetrica bunker sotterranei considerati inespugnabili suggerisce che anche i più alti livelli dell'IRGC siano compromessi.</w:t>
      </w:r>
    </w:p>
    <w:p w14:paraId="1451D8E7" w14:textId="037D3DB9" w:rsidR="008D5064" w:rsidRPr="008D5064" w:rsidRDefault="008D5064" w:rsidP="008D5064">
      <w:r w:rsidRPr="008D5064">
        <w:t>A questa erosione della fiducia si aggiunge la tensione crescente con l'</w:t>
      </w:r>
      <w:proofErr w:type="spellStart"/>
      <w:r w:rsidRPr="008D5064">
        <w:t>Artesh</w:t>
      </w:r>
      <w:proofErr w:type="spellEnd"/>
      <w:r w:rsidRPr="008D5064">
        <w:t>, l'esercito regolare. Storicamente considerato meno ideologizzato e più vicino alla nazione, l'</w:t>
      </w:r>
      <w:proofErr w:type="spellStart"/>
      <w:r w:rsidRPr="008D5064">
        <w:t>Artesh</w:t>
      </w:r>
      <w:proofErr w:type="spellEnd"/>
      <w:r w:rsidRPr="008D5064">
        <w:t xml:space="preserve"> ha visto i suoi budget ridotti a favore dei Pasdaran, che hanno trasformato la difesa in un business multimiliardario attraverso il controllo delle importazioni e del contrabbando. Nel gennaio 2026, si segnalano i primi casi di ufficiali dell'</w:t>
      </w:r>
      <w:proofErr w:type="spellStart"/>
      <w:r w:rsidRPr="008D5064">
        <w:t>Artesh</w:t>
      </w:r>
      <w:proofErr w:type="spellEnd"/>
      <w:r w:rsidRPr="008D5064">
        <w:t xml:space="preserve"> che rifiutano di schierare le truppe contro i manifestanti nelle città di provincia come Mashhad e Isfahan. Se questo trend dovesse consolidarsi, il regime perderebbe lo strumento principale di controllo territoriale, costringendo i Pasdaran a un impegno diretto che potrebbe rivelarsi fatale in caso di attacco esterno simultaneo.</w:t>
      </w:r>
    </w:p>
    <w:p w14:paraId="22FAD383" w14:textId="77777777" w:rsidR="008D5064" w:rsidRPr="008D5064" w:rsidRDefault="008D5064" w:rsidP="008D5064">
      <w:r w:rsidRPr="008D5064">
        <w:t>La strategia di Washington per il "secondo round" punta proprio su questa frattura. L'obiettivo non è un'invasione di terra, ma un'azione coordinata che includa:</w:t>
      </w:r>
    </w:p>
    <w:p w14:paraId="0B9107E8" w14:textId="76B5857F" w:rsidR="008D5064" w:rsidRPr="008D5064" w:rsidRDefault="008D5064" w:rsidP="008D5064">
      <w:pPr>
        <w:numPr>
          <w:ilvl w:val="0"/>
          <w:numId w:val="2"/>
        </w:numPr>
      </w:pPr>
      <w:r w:rsidRPr="008D5064">
        <w:rPr>
          <w:b/>
          <w:bCs/>
        </w:rPr>
        <w:t>Copertura Aerea per i Dissidenti</w:t>
      </w:r>
      <w:r w:rsidRPr="008D5064">
        <w:t>: Fornire protezione e intelligence in tempo reale ai gruppi ribelli organizzati nelle periferie.</w:t>
      </w:r>
    </w:p>
    <w:p w14:paraId="55E9156A" w14:textId="2CCF5F2D" w:rsidR="008D5064" w:rsidRPr="008D5064" w:rsidRDefault="008D5064" w:rsidP="008D5064">
      <w:pPr>
        <w:numPr>
          <w:ilvl w:val="0"/>
          <w:numId w:val="2"/>
        </w:numPr>
      </w:pPr>
      <w:r w:rsidRPr="008D5064">
        <w:rPr>
          <w:b/>
          <w:bCs/>
        </w:rPr>
        <w:t>Decapitazione dei "</w:t>
      </w:r>
      <w:proofErr w:type="spellStart"/>
      <w:r w:rsidRPr="008D5064">
        <w:rPr>
          <w:b/>
          <w:bCs/>
        </w:rPr>
        <w:t>Bonyads</w:t>
      </w:r>
      <w:proofErr w:type="spellEnd"/>
      <w:r w:rsidRPr="008D5064">
        <w:rPr>
          <w:b/>
          <w:bCs/>
        </w:rPr>
        <w:t>"</w:t>
      </w:r>
      <w:r w:rsidRPr="008D5064">
        <w:t>: Attacchi mirati alle infrastrutture economiche gestite dai Pasdaran per privarli dei fondi necessari a pagare le milizie paramilitari (Basij).</w:t>
      </w:r>
    </w:p>
    <w:p w14:paraId="69E75DF2" w14:textId="002D2F57" w:rsidR="008D5064" w:rsidRPr="008D5064" w:rsidRDefault="008D5064" w:rsidP="008D5064">
      <w:pPr>
        <w:numPr>
          <w:ilvl w:val="0"/>
          <w:numId w:val="2"/>
        </w:numPr>
      </w:pPr>
      <w:r w:rsidRPr="008D5064">
        <w:rPr>
          <w:b/>
          <w:bCs/>
        </w:rPr>
        <w:t>Appello alla Defezione</w:t>
      </w:r>
      <w:r w:rsidRPr="008D5064">
        <w:t>: Promesse di amnistia e integrazione nel futuro assetto istituzionale per quegli ufficiali dell'</w:t>
      </w:r>
      <w:proofErr w:type="spellStart"/>
      <w:r w:rsidRPr="008D5064">
        <w:t>Artesh</w:t>
      </w:r>
      <w:proofErr w:type="spellEnd"/>
      <w:r w:rsidRPr="008D5064">
        <w:t xml:space="preserve"> che sceglieranno di non difendere la teocrazia.</w:t>
      </w:r>
    </w:p>
    <w:p w14:paraId="6C0BEFF8" w14:textId="572B75B6" w:rsidR="008D5064" w:rsidRPr="008D5064" w:rsidRDefault="008D5064" w:rsidP="008D5064">
      <w:r w:rsidRPr="008D5064">
        <w:t>Il rischio di un "golpe dei Pasdaran" per sostituire Khamenei con una giunta militare più pragmatica è una variabile presa seriamente in considerazione dagli analisti. Tuttavia, un simile scenario potrebbe non essere sufficiente a fermare l'offensiva alleata, poiché l'obiettivo strategico di Israele rimane lo smantellamento totale e definitivo di ogni capacità nucleare, indipendentemente da chi detenga il potere a Teheran.</w:t>
      </w:r>
    </w:p>
    <w:p w14:paraId="2101DBE1" w14:textId="77777777" w:rsidR="008D5064" w:rsidRPr="008D5064" w:rsidRDefault="008D5064" w:rsidP="008D5064">
      <w:pPr>
        <w:rPr>
          <w:b/>
          <w:bCs/>
        </w:rPr>
      </w:pPr>
      <w:r w:rsidRPr="008D5064">
        <w:rPr>
          <w:b/>
          <w:bCs/>
        </w:rPr>
        <w:t>Impatto sull'Europa: Vulnerabilità Energetica e la Crisi dei Rifugiati</w:t>
      </w:r>
    </w:p>
    <w:p w14:paraId="5F5D1809" w14:textId="385C9CC9" w:rsidR="008D5064" w:rsidRPr="008D5064" w:rsidRDefault="008D5064" w:rsidP="008D5064">
      <w:r w:rsidRPr="008D5064">
        <w:t>L'Unione Europea si trova in una posizione di estrema fragilità rispetto all'imminente "secondo round". La dipendenza energetica, sebbene ridotta rispetto alla Russia, rimane critica per quanto riguarda il petrolio e il GNL proveniente dal Golfo Persico.</w:t>
      </w:r>
      <w:r>
        <w:rPr>
          <w:vertAlign w:val="superscript"/>
        </w:rPr>
        <w:t xml:space="preserve"> </w:t>
      </w:r>
      <w:r w:rsidRPr="008D5064">
        <w:t>Un conflitto aperto in Iran provocherebbe uno shock dei prezzi a breve termine che l'industria europea, già provata da anni di stagnazione e alti costi energetici, potrebbe non essere in grado di assorbire.</w:t>
      </w:r>
      <w:r>
        <w:rPr>
          <w:vertAlign w:val="superscript"/>
        </w:rPr>
        <w:t xml:space="preserve"> </w:t>
      </w:r>
      <w:r w:rsidRPr="008D5064">
        <w:t>Il rischio è quello di un "</w:t>
      </w:r>
      <w:proofErr w:type="spellStart"/>
      <w:r w:rsidRPr="008D5064">
        <w:t>greenlash</w:t>
      </w:r>
      <w:proofErr w:type="spellEnd"/>
      <w:r w:rsidRPr="008D5064">
        <w:t>" politico, in cui le popolazioni europee, esasperate dal calo del tenore di vita, potrebbero rivoltarsi contro le politiche di transizione ecologica e i governi che le sostengono.</w:t>
      </w:r>
    </w:p>
    <w:p w14:paraId="116FEE2F" w14:textId="433436C2" w:rsidR="008D5064" w:rsidRPr="008D5064" w:rsidRDefault="008D5064" w:rsidP="008D5064">
      <w:r w:rsidRPr="008D5064">
        <w:t>Oltre all'energia, lo spettro di una nuova crisi migratoria agita le cancellerie europee. Con una popolazione di oltre 88 milioni di persone, un collasso violento dell'Iran o l'inizio di una guerra civile prolungata scatenerebbe un flusso di profughi che farebbe impallidire la crisi del 2015. Le rotte attraverso i Balcani e la Turchia diventerebbero immediatamente il teatro di una nuova emergenza umanitaria, alimentando ulteriormente l'ascesa dei movimenti populisti e nazionalisti che già oggi mettono a dura prova la coesione dell'UE.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6"/>
        <w:gridCol w:w="2099"/>
        <w:gridCol w:w="1970"/>
        <w:gridCol w:w="3827"/>
      </w:tblGrid>
      <w:tr w:rsidR="008D5064" w:rsidRPr="008D5064" w14:paraId="3409E517"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E113D8B" w14:textId="77777777" w:rsidR="008D5064" w:rsidRPr="008D5064" w:rsidRDefault="008D5064" w:rsidP="008D5064">
            <w:r w:rsidRPr="008D5064">
              <w:rPr>
                <w:b/>
                <w:bCs/>
              </w:rPr>
              <w:lastRenderedPageBreak/>
              <w:t>Paese / Regione</w:t>
            </w:r>
          </w:p>
        </w:tc>
        <w:tc>
          <w:tcPr>
            <w:tcW w:w="0" w:type="auto"/>
            <w:tcBorders>
              <w:top w:val="single" w:sz="6" w:space="0" w:color="auto"/>
              <w:left w:val="single" w:sz="6" w:space="0" w:color="auto"/>
              <w:bottom w:val="single" w:sz="6" w:space="0" w:color="auto"/>
              <w:right w:val="single" w:sz="6" w:space="0" w:color="auto"/>
            </w:tcBorders>
            <w:vAlign w:val="center"/>
            <w:hideMark/>
          </w:tcPr>
          <w:p w14:paraId="4672C760" w14:textId="77777777" w:rsidR="008D5064" w:rsidRPr="008D5064" w:rsidRDefault="008D5064" w:rsidP="008D5064">
            <w:r w:rsidRPr="008D5064">
              <w:rPr>
                <w:b/>
                <w:bCs/>
              </w:rPr>
              <w:t>Numero Immigrati (2024-2025)</w:t>
            </w:r>
          </w:p>
        </w:tc>
        <w:tc>
          <w:tcPr>
            <w:tcW w:w="0" w:type="auto"/>
            <w:tcBorders>
              <w:top w:val="single" w:sz="6" w:space="0" w:color="auto"/>
              <w:left w:val="single" w:sz="6" w:space="0" w:color="auto"/>
              <w:bottom w:val="single" w:sz="6" w:space="0" w:color="auto"/>
              <w:right w:val="single" w:sz="6" w:space="0" w:color="auto"/>
            </w:tcBorders>
            <w:vAlign w:val="center"/>
            <w:hideMark/>
          </w:tcPr>
          <w:p w14:paraId="3C578B76" w14:textId="77777777" w:rsidR="008D5064" w:rsidRPr="008D5064" w:rsidRDefault="008D5064" w:rsidP="008D5064">
            <w:r w:rsidRPr="008D5064">
              <w:rPr>
                <w:b/>
                <w:bCs/>
              </w:rPr>
              <w:t>Percentuale Popolazione</w:t>
            </w:r>
          </w:p>
        </w:tc>
        <w:tc>
          <w:tcPr>
            <w:tcW w:w="0" w:type="auto"/>
            <w:tcBorders>
              <w:top w:val="single" w:sz="6" w:space="0" w:color="auto"/>
              <w:left w:val="single" w:sz="6" w:space="0" w:color="auto"/>
              <w:bottom w:val="single" w:sz="6" w:space="0" w:color="auto"/>
              <w:right w:val="single" w:sz="6" w:space="0" w:color="auto"/>
            </w:tcBorders>
            <w:vAlign w:val="center"/>
            <w:hideMark/>
          </w:tcPr>
          <w:p w14:paraId="058E02B1" w14:textId="77777777" w:rsidR="008D5064" w:rsidRPr="008D5064" w:rsidRDefault="008D5064" w:rsidP="008D5064">
            <w:r w:rsidRPr="008D5064">
              <w:rPr>
                <w:b/>
                <w:bCs/>
              </w:rPr>
              <w:t>Rischio 2026 (Proiezione Iran)</w:t>
            </w:r>
          </w:p>
        </w:tc>
      </w:tr>
      <w:tr w:rsidR="008D5064" w:rsidRPr="008D5064" w14:paraId="11D5F87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AA6844F" w14:textId="77777777" w:rsidR="008D5064" w:rsidRPr="008D5064" w:rsidRDefault="008D5064" w:rsidP="008D5064">
            <w:r w:rsidRPr="008D5064">
              <w:t>Germania</w:t>
            </w:r>
          </w:p>
        </w:tc>
        <w:tc>
          <w:tcPr>
            <w:tcW w:w="0" w:type="auto"/>
            <w:tcBorders>
              <w:top w:val="single" w:sz="6" w:space="0" w:color="auto"/>
              <w:left w:val="single" w:sz="6" w:space="0" w:color="auto"/>
              <w:bottom w:val="single" w:sz="6" w:space="0" w:color="auto"/>
              <w:right w:val="single" w:sz="6" w:space="0" w:color="auto"/>
            </w:tcBorders>
            <w:vAlign w:val="center"/>
            <w:hideMark/>
          </w:tcPr>
          <w:p w14:paraId="612ECC8C" w14:textId="77777777" w:rsidR="008D5064" w:rsidRPr="008D5064" w:rsidRDefault="008D5064" w:rsidP="008D5064">
            <w:r w:rsidRPr="008D5064">
              <w:t>17,4 Milioni</w:t>
            </w:r>
          </w:p>
        </w:tc>
        <w:tc>
          <w:tcPr>
            <w:tcW w:w="0" w:type="auto"/>
            <w:tcBorders>
              <w:top w:val="single" w:sz="6" w:space="0" w:color="auto"/>
              <w:left w:val="single" w:sz="6" w:space="0" w:color="auto"/>
              <w:bottom w:val="single" w:sz="6" w:space="0" w:color="auto"/>
              <w:right w:val="single" w:sz="6" w:space="0" w:color="auto"/>
            </w:tcBorders>
            <w:vAlign w:val="center"/>
            <w:hideMark/>
          </w:tcPr>
          <w:p w14:paraId="5B6A0ED1" w14:textId="77777777" w:rsidR="008D5064" w:rsidRPr="008D5064" w:rsidRDefault="008D5064" w:rsidP="008D5064">
            <w:r w:rsidRPr="008D5064">
              <w:t>20,9%</w:t>
            </w:r>
          </w:p>
        </w:tc>
        <w:tc>
          <w:tcPr>
            <w:tcW w:w="0" w:type="auto"/>
            <w:tcBorders>
              <w:top w:val="single" w:sz="6" w:space="0" w:color="auto"/>
              <w:left w:val="single" w:sz="6" w:space="0" w:color="auto"/>
              <w:bottom w:val="single" w:sz="6" w:space="0" w:color="auto"/>
              <w:right w:val="single" w:sz="6" w:space="0" w:color="auto"/>
            </w:tcBorders>
            <w:vAlign w:val="center"/>
            <w:hideMark/>
          </w:tcPr>
          <w:p w14:paraId="0EC760B7" w14:textId="5B7CEB96" w:rsidR="008D5064" w:rsidRPr="008D5064" w:rsidRDefault="008D5064" w:rsidP="008D5064">
            <w:r w:rsidRPr="008D5064">
              <w:t>Saturazione capacità accoglienza; polarizzazione AfD.</w:t>
            </w:r>
          </w:p>
        </w:tc>
      </w:tr>
      <w:tr w:rsidR="008D5064" w:rsidRPr="008D5064" w14:paraId="6E05CB2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8A9B89B" w14:textId="77777777" w:rsidR="008D5064" w:rsidRPr="008D5064" w:rsidRDefault="008D5064" w:rsidP="008D5064">
            <w:r w:rsidRPr="008D5064">
              <w:t>Francia</w:t>
            </w:r>
          </w:p>
        </w:tc>
        <w:tc>
          <w:tcPr>
            <w:tcW w:w="0" w:type="auto"/>
            <w:tcBorders>
              <w:top w:val="single" w:sz="6" w:space="0" w:color="auto"/>
              <w:left w:val="single" w:sz="6" w:space="0" w:color="auto"/>
              <w:bottom w:val="single" w:sz="6" w:space="0" w:color="auto"/>
              <w:right w:val="single" w:sz="6" w:space="0" w:color="auto"/>
            </w:tcBorders>
            <w:vAlign w:val="center"/>
            <w:hideMark/>
          </w:tcPr>
          <w:p w14:paraId="021C082D" w14:textId="77777777" w:rsidR="008D5064" w:rsidRPr="008D5064" w:rsidRDefault="008D5064" w:rsidP="008D5064">
            <w:r w:rsidRPr="008D5064">
              <w:t>10,3% - 13,8%</w:t>
            </w:r>
          </w:p>
        </w:tc>
        <w:tc>
          <w:tcPr>
            <w:tcW w:w="0" w:type="auto"/>
            <w:tcBorders>
              <w:top w:val="single" w:sz="6" w:space="0" w:color="auto"/>
              <w:left w:val="single" w:sz="6" w:space="0" w:color="auto"/>
              <w:bottom w:val="single" w:sz="6" w:space="0" w:color="auto"/>
              <w:right w:val="single" w:sz="6" w:space="0" w:color="auto"/>
            </w:tcBorders>
            <w:vAlign w:val="center"/>
            <w:hideMark/>
          </w:tcPr>
          <w:p w14:paraId="08724F1D" w14:textId="77777777" w:rsidR="008D5064" w:rsidRPr="008D5064" w:rsidRDefault="008D5064" w:rsidP="008D5064">
            <w:r w:rsidRPr="008D5064">
              <w:t>Variabile</w:t>
            </w:r>
          </w:p>
        </w:tc>
        <w:tc>
          <w:tcPr>
            <w:tcW w:w="0" w:type="auto"/>
            <w:tcBorders>
              <w:top w:val="single" w:sz="6" w:space="0" w:color="auto"/>
              <w:left w:val="single" w:sz="6" w:space="0" w:color="auto"/>
              <w:bottom w:val="single" w:sz="6" w:space="0" w:color="auto"/>
              <w:right w:val="single" w:sz="6" w:space="0" w:color="auto"/>
            </w:tcBorders>
            <w:vAlign w:val="center"/>
            <w:hideMark/>
          </w:tcPr>
          <w:p w14:paraId="2451B7D2" w14:textId="1BA0F708" w:rsidR="008D5064" w:rsidRPr="008D5064" w:rsidRDefault="008D5064" w:rsidP="008D5064">
            <w:r w:rsidRPr="008D5064">
              <w:t>Instabilità politica; crollo governi di coalizione.</w:t>
            </w:r>
          </w:p>
        </w:tc>
      </w:tr>
      <w:tr w:rsidR="008D5064" w:rsidRPr="008D5064" w14:paraId="596D619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F50240C" w14:textId="77777777" w:rsidR="008D5064" w:rsidRPr="008D5064" w:rsidRDefault="008D5064" w:rsidP="008D5064">
            <w:r w:rsidRPr="008D5064">
              <w:t>Paesi Bassi</w:t>
            </w:r>
          </w:p>
        </w:tc>
        <w:tc>
          <w:tcPr>
            <w:tcW w:w="0" w:type="auto"/>
            <w:tcBorders>
              <w:top w:val="single" w:sz="6" w:space="0" w:color="auto"/>
              <w:left w:val="single" w:sz="6" w:space="0" w:color="auto"/>
              <w:bottom w:val="single" w:sz="6" w:space="0" w:color="auto"/>
              <w:right w:val="single" w:sz="6" w:space="0" w:color="auto"/>
            </w:tcBorders>
            <w:vAlign w:val="center"/>
            <w:hideMark/>
          </w:tcPr>
          <w:p w14:paraId="7083C67C" w14:textId="77777777" w:rsidR="008D5064" w:rsidRPr="008D5064" w:rsidRDefault="008D5064" w:rsidP="008D5064">
            <w:r w:rsidRPr="008D5064">
              <w:t>3 Milioni</w:t>
            </w:r>
          </w:p>
        </w:tc>
        <w:tc>
          <w:tcPr>
            <w:tcW w:w="0" w:type="auto"/>
            <w:tcBorders>
              <w:top w:val="single" w:sz="6" w:space="0" w:color="auto"/>
              <w:left w:val="single" w:sz="6" w:space="0" w:color="auto"/>
              <w:bottom w:val="single" w:sz="6" w:space="0" w:color="auto"/>
              <w:right w:val="single" w:sz="6" w:space="0" w:color="auto"/>
            </w:tcBorders>
            <w:vAlign w:val="center"/>
            <w:hideMark/>
          </w:tcPr>
          <w:p w14:paraId="0A627311" w14:textId="77777777" w:rsidR="008D5064" w:rsidRPr="008D5064" w:rsidRDefault="008D5064" w:rsidP="008D5064">
            <w:r w:rsidRPr="008D5064">
              <w:t>16,8%</w:t>
            </w:r>
          </w:p>
        </w:tc>
        <w:tc>
          <w:tcPr>
            <w:tcW w:w="0" w:type="auto"/>
            <w:tcBorders>
              <w:top w:val="single" w:sz="6" w:space="0" w:color="auto"/>
              <w:left w:val="single" w:sz="6" w:space="0" w:color="auto"/>
              <w:bottom w:val="single" w:sz="6" w:space="0" w:color="auto"/>
              <w:right w:val="single" w:sz="6" w:space="0" w:color="auto"/>
            </w:tcBorders>
            <w:vAlign w:val="center"/>
            <w:hideMark/>
          </w:tcPr>
          <w:p w14:paraId="7DE51BED" w14:textId="53B2141D" w:rsidR="008D5064" w:rsidRPr="008D5064" w:rsidRDefault="008D5064" w:rsidP="008D5064">
            <w:r w:rsidRPr="008D5064">
              <w:t>Tensioni sociali e culturali su identità e religione.</w:t>
            </w:r>
          </w:p>
        </w:tc>
      </w:tr>
      <w:tr w:rsidR="008D5064" w:rsidRPr="008D5064" w14:paraId="2DA2392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4468A18" w14:textId="77777777" w:rsidR="008D5064" w:rsidRPr="008D5064" w:rsidRDefault="008D5064" w:rsidP="008D5064">
            <w:r w:rsidRPr="008D5064">
              <w:t>Unione Europea (Totale)</w:t>
            </w:r>
          </w:p>
        </w:tc>
        <w:tc>
          <w:tcPr>
            <w:tcW w:w="0" w:type="auto"/>
            <w:tcBorders>
              <w:top w:val="single" w:sz="6" w:space="0" w:color="auto"/>
              <w:left w:val="single" w:sz="6" w:space="0" w:color="auto"/>
              <w:bottom w:val="single" w:sz="6" w:space="0" w:color="auto"/>
              <w:right w:val="single" w:sz="6" w:space="0" w:color="auto"/>
            </w:tcBorders>
            <w:vAlign w:val="center"/>
            <w:hideMark/>
          </w:tcPr>
          <w:p w14:paraId="312C8E31" w14:textId="77777777" w:rsidR="008D5064" w:rsidRPr="008D5064" w:rsidRDefault="008D5064" w:rsidP="008D5064">
            <w:r w:rsidRPr="008D5064">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1557AE9E" w14:textId="77777777" w:rsidR="008D5064" w:rsidRPr="008D5064" w:rsidRDefault="008D5064" w:rsidP="008D5064">
            <w:r w:rsidRPr="008D5064">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5FD29B71" w14:textId="192E149E" w:rsidR="008D5064" w:rsidRPr="008D5064" w:rsidRDefault="008D5064" w:rsidP="008D5064">
            <w:r w:rsidRPr="008D5064">
              <w:t>Frammentazione della solidarietà interna; chiusura frontiere.</w:t>
            </w:r>
          </w:p>
        </w:tc>
      </w:tr>
    </w:tbl>
    <w:p w14:paraId="43779E14" w14:textId="6DAEF0F3" w:rsidR="008D5064" w:rsidRPr="008D5064" w:rsidRDefault="008D5064" w:rsidP="008D5064">
      <w:r w:rsidRPr="008D5064">
        <w:t>L'Europa è costretta a un riallineamento obbligato. La scelta è tra seguire la guida aggressiva di Washington, garantendosi un posto nel futuro ordine economico "Abramo-centrico", o tentare una mediazione autonoma che rischierebbe di isolarla dai nuovi flussi finanziari e di lasciarla sola a gestire le conseguenze migratorie e di sicurezza di un Iran fuori controllo. La tendenza osservata all'inizio del 2026 indica che Bruxelles sta optando per un "adattamento silenzioso" all'erosione democratica, concentrandosi più sulla "sovranità energetica" e sulla protezione dei propri mercati tecnologici che sulla difesa di un ordine liberale ormai svuotato di significato.</w:t>
      </w:r>
    </w:p>
    <w:p w14:paraId="5EF84A58" w14:textId="77777777" w:rsidR="008D5064" w:rsidRPr="008D5064" w:rsidRDefault="008D5064" w:rsidP="008D5064">
      <w:pPr>
        <w:rPr>
          <w:b/>
          <w:bCs/>
        </w:rPr>
      </w:pPr>
      <w:r w:rsidRPr="008D5064">
        <w:rPr>
          <w:b/>
          <w:bCs/>
        </w:rPr>
        <w:t>Verso la Primavera 2026: Prognosi e l'Atto Finale dell'Integrazione Regionale</w:t>
      </w:r>
    </w:p>
    <w:p w14:paraId="7648ED14" w14:textId="7FEE3A36" w:rsidR="008D5064" w:rsidRPr="008D5064" w:rsidRDefault="008D5064" w:rsidP="008D5064">
      <w:r w:rsidRPr="008D5064">
        <w:t>Le proiezioni tattiche indicano che l'offensiva finale avverrà tra marzo e maggio 2026. Il pretesto operativo sarà quasi certamente la "protezione dei civili" iraniani di fronte a un'escalation della repressione interna, ma gli obiettivi reali sono di natura sistemica. Gli Stati Uniti e Israele non accetteranno nulla meno della denuclearizzazione definitiva e dello smantellamento delle capacità missilistiche a lungo raggio di Teheran.</w:t>
      </w:r>
    </w:p>
    <w:p w14:paraId="66BC13AC" w14:textId="45257808" w:rsidR="008D5064" w:rsidRPr="008D5064" w:rsidRDefault="008D5064" w:rsidP="008D5064">
      <w:r w:rsidRPr="008D5064">
        <w:t>L'imprevedibilità della caduta del regime è un rischio calcolato da Washington. Una destabilizzazione controllata, che porti alla nascita di un governo di transizione filo-occidentale o a una frammentazione amministrativa debole, è considerata preferibile alla minaccia persistente di un Iran nucleare capace di bloccare l'economia mondiale. In questo scenario, l'Iran passerebbe dall'essere il principale motore del rischio geopolitico a un potente moltiplicatore dell'offerta energetica, integrandosi perfettamente nel sistema industriale americano e saudita.</w:t>
      </w:r>
    </w:p>
    <w:p w14:paraId="584B8D9E" w14:textId="2E134A6B" w:rsidR="008D5064" w:rsidRPr="008D5064" w:rsidRDefault="008D5064" w:rsidP="008D5064">
      <w:r w:rsidRPr="008D5064">
        <w:t>Il "secondo round" segnerà la fine dell'eccezionalismo iraniano e l'inizio di una nuova era di egemonia tecnologica e finanziaria guidata dagli Accordi di Abramo. Per l'Iran, la scelta tra la resa incondizionata chiesta da Trump e il collasso totale sotto il peso delle proprie contraddizioni interne sembra ormai obbligata. La Repubblica Islamica, definita dagli analisti un "regime zombie" che può ancora mordere ma non può più convincere, si avvia verso la sua fase finale di disintegrazione, un evento che rimodellerà il Medio Oriente per i decenni a venire.</w:t>
      </w:r>
    </w:p>
    <w:p w14:paraId="6584C1F5" w14:textId="77777777" w:rsidR="008D5064" w:rsidRPr="008D5064" w:rsidRDefault="008D5064" w:rsidP="008D5064">
      <w:pPr>
        <w:rPr>
          <w:b/>
          <w:bCs/>
        </w:rPr>
      </w:pPr>
      <w:r w:rsidRPr="008D5064">
        <w:rPr>
          <w:b/>
          <w:bCs/>
        </w:rPr>
        <w:t>Conclusioni: L'Inesorabilità del Nuovo Ordine</w:t>
      </w:r>
    </w:p>
    <w:p w14:paraId="3111D2DC" w14:textId="77777777" w:rsidR="008D5064" w:rsidRPr="008D5064" w:rsidRDefault="008D5064" w:rsidP="008D5064">
      <w:r w:rsidRPr="008D5064">
        <w:t xml:space="preserve">L'analisi esaustiva dei dati militari, economici e sociali presentati in questo rapporto indica che il mantenimento dello status quo in Iran è diventato insostenibile per tutti i principali attori globali. Il "secondo round" non è un'opzione elettorale o un desiderio ideologico, ma una necessità strutturale dell'architettura finanziaria definita nel corso del 2025. L'interdipendenza tra i 1.000 miliardi sauditi e </w:t>
      </w:r>
      <w:r w:rsidRPr="008D5064">
        <w:lastRenderedPageBreak/>
        <w:t>la sicurezza energetica americana richiede l'eliminazione del fattore di disturbo iraniano prima che la transizione tecnologica verso l'IA e il nuovo nucleare civile raggiunga la sua maturità.</w:t>
      </w:r>
    </w:p>
    <w:p w14:paraId="13D30942" w14:textId="77777777" w:rsidR="008D5064" w:rsidRDefault="008D5064" w:rsidP="008D5064">
      <w:r w:rsidRPr="008D5064">
        <w:t>L'Iran di inizio 2026 è un organismo privo di guida, con una popolazione stremata che non ha più nulla da perdere e un apparato repressivo che inizia a mostrare crepe insanabili. L'offensiva di primavera agirà come un catalizzatore su un sistema già in fase di auto-combustione. Sebbene le conseguenze per l'Europa in termini di migrazione e volatilità energetica iniziale saranno pesanti, il risultato finale sarà un Medio Oriente integrato nel sistema industriale occidentale, eliminando definitivamente la minaccia che per cinquant'anni ha condizionato la politica globale. Il passaggio dell'Iran da paria energetico a moltiplicatore dell'offerta globale sotto tutela internazionale rappresenta l'atto finale di una trasformazione che porrà fine all'era dell'instabilità petrolifera cronica.</w:t>
      </w:r>
    </w:p>
    <w:p w14:paraId="63EF1265" w14:textId="77777777" w:rsidR="00283C04" w:rsidRDefault="00283C04" w:rsidP="008D5064"/>
    <w:p w14:paraId="00B00136" w14:textId="4A70A05A" w:rsidR="00283C04" w:rsidRPr="008D5064" w:rsidRDefault="00283C04" w:rsidP="008D5064">
      <w:r w:rsidRPr="00283C04">
        <w:drawing>
          <wp:inline distT="0" distB="0" distL="0" distR="0" wp14:anchorId="5DC47B1A" wp14:editId="0C11F650">
            <wp:extent cx="6268720" cy="5628640"/>
            <wp:effectExtent l="0" t="0" r="0" b="0"/>
            <wp:docPr id="1727196475" name="Immagine 1" descr="Immagine che contiene testo, schermata, documento, num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96475" name="Immagine 1" descr="Immagine che contiene testo, schermata, documento, numero"/>
                    <pic:cNvPicPr/>
                  </pic:nvPicPr>
                  <pic:blipFill>
                    <a:blip r:embed="rId5"/>
                    <a:stretch>
                      <a:fillRect/>
                    </a:stretch>
                  </pic:blipFill>
                  <pic:spPr>
                    <a:xfrm>
                      <a:off x="0" y="0"/>
                      <a:ext cx="6269600" cy="5629430"/>
                    </a:xfrm>
                    <a:prstGeom prst="rect">
                      <a:avLst/>
                    </a:prstGeom>
                  </pic:spPr>
                </pic:pic>
              </a:graphicData>
            </a:graphic>
          </wp:inline>
        </w:drawing>
      </w:r>
    </w:p>
    <w:p w14:paraId="04946F6B" w14:textId="77777777" w:rsidR="001422EF" w:rsidRDefault="001422EF"/>
    <w:sectPr w:rsidR="001422E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01917"/>
    <w:multiLevelType w:val="multilevel"/>
    <w:tmpl w:val="8782E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AE6B36"/>
    <w:multiLevelType w:val="multilevel"/>
    <w:tmpl w:val="A4D40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7922624">
    <w:abstractNumId w:val="1"/>
  </w:num>
  <w:num w:numId="2" w16cid:durableId="1882668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064"/>
    <w:rsid w:val="001422EF"/>
    <w:rsid w:val="00283C04"/>
    <w:rsid w:val="004A0F0A"/>
    <w:rsid w:val="008D5064"/>
    <w:rsid w:val="00CC7FDF"/>
    <w:rsid w:val="00FD69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E969"/>
  <w15:chartTrackingRefBased/>
  <w15:docId w15:val="{633F9578-5F00-40D9-9662-48A3B1014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D50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D50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D506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D506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D506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D506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D506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D506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D506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D506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D506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D506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D506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D506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D506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D506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D506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D5064"/>
    <w:rPr>
      <w:rFonts w:eastAsiaTheme="majorEastAsia" w:cstheme="majorBidi"/>
      <w:color w:val="272727" w:themeColor="text1" w:themeTint="D8"/>
    </w:rPr>
  </w:style>
  <w:style w:type="paragraph" w:styleId="Titolo">
    <w:name w:val="Title"/>
    <w:basedOn w:val="Normale"/>
    <w:next w:val="Normale"/>
    <w:link w:val="TitoloCarattere"/>
    <w:uiPriority w:val="10"/>
    <w:qFormat/>
    <w:rsid w:val="008D50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D506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D506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D506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D506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D5064"/>
    <w:rPr>
      <w:i/>
      <w:iCs/>
      <w:color w:val="404040" w:themeColor="text1" w:themeTint="BF"/>
    </w:rPr>
  </w:style>
  <w:style w:type="paragraph" w:styleId="Paragrafoelenco">
    <w:name w:val="List Paragraph"/>
    <w:basedOn w:val="Normale"/>
    <w:uiPriority w:val="34"/>
    <w:qFormat/>
    <w:rsid w:val="008D5064"/>
    <w:pPr>
      <w:ind w:left="720"/>
      <w:contextualSpacing/>
    </w:pPr>
  </w:style>
  <w:style w:type="character" w:styleId="Enfasiintensa">
    <w:name w:val="Intense Emphasis"/>
    <w:basedOn w:val="Carpredefinitoparagrafo"/>
    <w:uiPriority w:val="21"/>
    <w:qFormat/>
    <w:rsid w:val="008D5064"/>
    <w:rPr>
      <w:i/>
      <w:iCs/>
      <w:color w:val="0F4761" w:themeColor="accent1" w:themeShade="BF"/>
    </w:rPr>
  </w:style>
  <w:style w:type="paragraph" w:styleId="Citazioneintensa">
    <w:name w:val="Intense Quote"/>
    <w:basedOn w:val="Normale"/>
    <w:next w:val="Normale"/>
    <w:link w:val="CitazioneintensaCarattere"/>
    <w:uiPriority w:val="30"/>
    <w:qFormat/>
    <w:rsid w:val="008D50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D5064"/>
    <w:rPr>
      <w:i/>
      <w:iCs/>
      <w:color w:val="0F4761" w:themeColor="accent1" w:themeShade="BF"/>
    </w:rPr>
  </w:style>
  <w:style w:type="character" w:styleId="Riferimentointenso">
    <w:name w:val="Intense Reference"/>
    <w:basedOn w:val="Carpredefinitoparagrafo"/>
    <w:uiPriority w:val="32"/>
    <w:qFormat/>
    <w:rsid w:val="008D50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3061</Words>
  <Characters>18587</Characters>
  <Application>Microsoft Office Word</Application>
  <DocSecurity>0</DocSecurity>
  <Lines>320</Lines>
  <Paragraphs>137</Paragraphs>
  <ScaleCrop>false</ScaleCrop>
  <Company/>
  <LinksUpToDate>false</LinksUpToDate>
  <CharactersWithSpaces>21511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 navarra</dc:creator>
  <cp:keywords/>
  <dc:description/>
  <cp:lastModifiedBy>alfonso navarra</cp:lastModifiedBy>
  <cp:revision>3</cp:revision>
  <dcterms:created xsi:type="dcterms:W3CDTF">2026-01-15T02:12:00Z</dcterms:created>
  <dcterms:modified xsi:type="dcterms:W3CDTF">2026-01-15T02:28:00Z</dcterms:modified>
</cp:coreProperties>
</file>